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618" w:type="dxa"/>
        <w:jc w:val="center"/>
        <w:tblInd w:w="0" w:type="dxa"/>
        <w:tblCellMar>
          <w:top w:w="0" w:type="dxa"/>
          <w:left w:w="108" w:type="dxa"/>
          <w:bottom w:w="0" w:type="dxa"/>
          <w:right w:w="108" w:type="dxa"/>
        </w:tblCellMar>
        <w:tblLook w:firstRow="1" w:noVBand="1" w:lastRow="0" w:firstColumn="1" w:lastColumn="0" w:noHBand="0" w:val="04a0"/>
      </w:tblPr>
      <w:tblGrid>
        <w:gridCol w:w="9618"/>
      </w:tblGrid>
      <w:tr>
        <w:trPr>
          <w:trHeight w:val="14355" w:hRule="atLeast"/>
        </w:trPr>
        <w:tc>
          <w:tcPr>
            <w:tcW w:w="9618" w:type="dxa"/>
            <w:tcBorders>
              <w:top w:val="single" w:sz="18" w:space="0" w:color="000000"/>
              <w:left w:val="single" w:sz="18" w:space="0" w:color="000000"/>
              <w:bottom w:val="single" w:sz="18" w:space="0" w:color="000000"/>
              <w:right w:val="single" w:sz="18" w:space="0" w:color="000000"/>
            </w:tcBorders>
          </w:tcPr>
          <w:p>
            <w:pPr>
              <w:pStyle w:val="Normal"/>
              <w:snapToGrid w:val="false"/>
              <w:ind w:left="-57" w:right="-57" w:hanging="0"/>
              <w:jc w:val="center"/>
              <w:rPr>
                <w:sz w:val="16"/>
                <w:szCs w:val="16"/>
              </w:rPr>
            </w:pPr>
            <w:r>
              <w:rPr>
                <w:sz w:val="16"/>
                <w:szCs w:val="16"/>
              </w:rPr>
            </w:r>
          </w:p>
          <w:p>
            <w:pPr>
              <w:pStyle w:val="Normal"/>
              <w:ind w:hanging="3"/>
              <w:jc w:val="center"/>
              <w:rPr>
                <w:b/>
                <w:b/>
                <w:bCs/>
              </w:rPr>
            </w:pPr>
            <w:r>
              <w:rPr>
                <w:b/>
                <w:bCs/>
                <w:sz w:val="30"/>
                <w:szCs w:val="30"/>
              </w:rPr>
              <w:t>REGIA NATIONALA A PADURILOR – ROMSILVA</w:t>
            </w:r>
          </w:p>
          <w:p>
            <w:pPr>
              <w:pStyle w:val="Normal"/>
              <w:ind w:hanging="3"/>
              <w:jc w:val="center"/>
              <w:rPr>
                <w:b/>
                <w:b/>
                <w:bCs/>
              </w:rPr>
            </w:pPr>
            <w:r>
              <w:rPr>
                <w:b/>
                <w:bCs/>
                <w:sz w:val="30"/>
                <w:szCs w:val="30"/>
              </w:rPr>
              <w:t>DIRECTIA SILVICA ARAD</w:t>
            </w:r>
          </w:p>
          <w:p>
            <w:pPr>
              <w:pStyle w:val="Normal"/>
              <w:jc w:val="center"/>
              <w:rPr>
                <w:i/>
                <w:i/>
                <w:w w:val="110"/>
                <w:sz w:val="22"/>
                <w:szCs w:val="22"/>
              </w:rPr>
            </w:pPr>
            <w:r>
              <w:rPr>
                <w:i/>
                <w:w w:val="110"/>
                <w:sz w:val="22"/>
                <w:szCs w:val="22"/>
              </w:rPr>
            </w:r>
          </w:p>
          <w:p>
            <w:pPr>
              <w:pStyle w:val="Heading"/>
              <w:rPr>
                <w:rFonts w:ascii="Times New Roman" w:hAnsi="Times New Roman" w:cs="Times New Roman"/>
                <w:i/>
                <w:i/>
                <w:w w:val="110"/>
                <w:sz w:val="16"/>
                <w:szCs w:val="16"/>
              </w:rPr>
            </w:pPr>
            <w:r>
              <w:rPr>
                <w:rFonts w:cs="Times New Roman" w:ascii="Times New Roman" w:hAnsi="Times New Roman"/>
                <w:i/>
                <w:w w:val="110"/>
                <w:sz w:val="16"/>
                <w:szCs w:val="16"/>
              </w:rPr>
            </w:r>
          </w:p>
          <w:p>
            <w:pPr>
              <w:pStyle w:val="Heading"/>
              <w:rPr>
                <w:rFonts w:ascii="Times New Roman" w:hAnsi="Times New Roman" w:cs="Times New Roman"/>
                <w:b w:val="false"/>
                <w:b w:val="false"/>
                <w:sz w:val="30"/>
                <w:szCs w:val="30"/>
                <w:lang w:val="fr-FR"/>
              </w:rPr>
            </w:pPr>
            <w:r>
              <w:rPr>
                <w:rFonts w:cs="Times New Roman" w:ascii="Times New Roman" w:hAnsi="Times New Roman"/>
                <w:b w:val="false"/>
                <w:sz w:val="30"/>
                <w:szCs w:val="30"/>
                <w:lang w:val="fr-FR"/>
              </w:rPr>
            </w:r>
          </w:p>
          <w:p>
            <w:pPr>
              <w:pStyle w:val="Heading"/>
              <w:rPr>
                <w:rFonts w:ascii="Times New Roman" w:hAnsi="Times New Roman" w:cs="Times New Roman"/>
                <w:sz w:val="30"/>
                <w:szCs w:val="24"/>
              </w:rPr>
            </w:pPr>
            <w:r>
              <w:rPr>
                <w:rFonts w:cs="Times New Roman" w:ascii="Times New Roman" w:hAnsi="Times New Roman"/>
                <w:sz w:val="30"/>
                <w:szCs w:val="24"/>
              </w:rPr>
            </w:r>
          </w:p>
          <w:p>
            <w:pPr>
              <w:pStyle w:val="Heading"/>
              <w:rPr>
                <w:rFonts w:ascii="Times New Roman" w:hAnsi="Times New Roman" w:cs="Times New Roman"/>
                <w:szCs w:val="24"/>
              </w:rPr>
            </w:pPr>
            <w:r>
              <w:rPr>
                <w:rFonts w:cs="Times New Roman" w:ascii="Times New Roman" w:hAnsi="Times New Roman"/>
                <w:szCs w:val="24"/>
              </w:rPr>
            </w:r>
          </w:p>
          <w:p>
            <w:pPr>
              <w:pStyle w:val="Heading"/>
              <w:rPr>
                <w:rFonts w:ascii="Times New Roman" w:hAnsi="Times New Roman" w:cs="Times New Roman"/>
                <w:szCs w:val="24"/>
              </w:rPr>
            </w:pPr>
            <w:r>
              <w:rPr>
                <w:rFonts w:cs="Times New Roman" w:ascii="Times New Roman" w:hAnsi="Times New Roman"/>
                <w:szCs w:val="24"/>
              </w:rPr>
            </w:r>
          </w:p>
          <w:p>
            <w:pPr>
              <w:pStyle w:val="Heading"/>
              <w:rPr>
                <w:rFonts w:ascii="Times New Roman" w:hAnsi="Times New Roman" w:cs="Times New Roman"/>
                <w:szCs w:val="24"/>
              </w:rPr>
            </w:pPr>
            <w:r>
              <w:rPr>
                <w:rFonts w:cs="Times New Roman" w:ascii="Times New Roman" w:hAnsi="Times New Roman"/>
                <w:szCs w:val="24"/>
              </w:rPr>
            </w:r>
          </w:p>
          <w:p>
            <w:pPr>
              <w:pStyle w:val="Heading"/>
              <w:rPr>
                <w:rFonts w:ascii="Times New Roman" w:hAnsi="Times New Roman" w:cs="Times New Roman"/>
                <w:szCs w:val="24"/>
              </w:rPr>
            </w:pPr>
            <w:r>
              <w:rPr>
                <w:rFonts w:cs="Times New Roman" w:ascii="Times New Roman" w:hAnsi="Times New Roman"/>
                <w:szCs w:val="24"/>
              </w:rPr>
            </w:r>
          </w:p>
          <w:p>
            <w:pPr>
              <w:pStyle w:val="Heading"/>
              <w:rPr>
                <w:rFonts w:ascii="Times New Roman" w:hAnsi="Times New Roman" w:cs="Times New Roman"/>
                <w:szCs w:val="24"/>
              </w:rPr>
            </w:pPr>
            <w:r>
              <w:rPr>
                <w:rFonts w:cs="Times New Roman" w:ascii="Times New Roman" w:hAnsi="Times New Roman"/>
                <w:szCs w:val="24"/>
              </w:rPr>
            </w:r>
          </w:p>
          <w:p>
            <w:pPr>
              <w:pStyle w:val="Heading"/>
              <w:rPr>
                <w:rFonts w:ascii="Times New Roman" w:hAnsi="Times New Roman" w:cs="Times New Roman"/>
                <w:szCs w:val="24"/>
              </w:rPr>
            </w:pPr>
            <w:r>
              <w:rPr>
                <w:rFonts w:cs="Times New Roman" w:ascii="Times New Roman" w:hAnsi="Times New Roman"/>
                <w:szCs w:val="24"/>
              </w:rPr>
            </w:r>
          </w:p>
          <w:tbl>
            <w:tblPr>
              <w:tblW w:w="7863" w:type="dxa"/>
              <w:jc w:val="center"/>
              <w:tblInd w:w="0" w:type="dxa"/>
              <w:tblCellMar>
                <w:top w:w="0" w:type="dxa"/>
                <w:left w:w="108" w:type="dxa"/>
                <w:bottom w:w="0" w:type="dxa"/>
                <w:right w:w="108" w:type="dxa"/>
              </w:tblCellMar>
              <w:tblLook w:firstRow="1" w:noVBand="1" w:lastRow="0" w:firstColumn="1" w:lastColumn="0" w:noHBand="0" w:val="04a0"/>
            </w:tblPr>
            <w:tblGrid>
              <w:gridCol w:w="7863"/>
            </w:tblGrid>
            <w:tr>
              <w:trPr>
                <w:trHeight w:val="2607" w:hRule="atLeast"/>
              </w:trPr>
              <w:tc>
                <w:tcPr>
                  <w:tcW w:w="7863" w:type="dxa"/>
                  <w:tcBorders>
                    <w:top w:val="single" w:sz="18" w:space="0" w:color="000000"/>
                    <w:left w:val="single" w:sz="18" w:space="0" w:color="000000"/>
                    <w:bottom w:val="single" w:sz="18" w:space="0" w:color="000000"/>
                    <w:right w:val="single" w:sz="18" w:space="0" w:color="000000"/>
                  </w:tcBorders>
                </w:tcPr>
                <w:p>
                  <w:pPr>
                    <w:pStyle w:val="Heading"/>
                    <w:snapToGrid w:val="false"/>
                    <w:spacing w:lineRule="auto" w:line="360"/>
                    <w:rPr>
                      <w:rFonts w:ascii="Times New Roman" w:hAnsi="Times New Roman" w:cs="Times New Roman"/>
                      <w:sz w:val="30"/>
                      <w:szCs w:val="30"/>
                    </w:rPr>
                  </w:pPr>
                  <w:r>
                    <w:rPr>
                      <w:rFonts w:cs="Times New Roman" w:ascii="Times New Roman" w:hAnsi="Times New Roman"/>
                      <w:sz w:val="30"/>
                      <w:szCs w:val="30"/>
                    </w:rPr>
                  </w:r>
                </w:p>
                <w:p>
                  <w:pPr>
                    <w:pStyle w:val="Normal"/>
                    <w:spacing w:lineRule="auto" w:line="360"/>
                    <w:jc w:val="center"/>
                    <w:rPr>
                      <w:b/>
                      <w:b/>
                      <w:sz w:val="30"/>
                      <w:szCs w:val="30"/>
                      <w:lang w:val="ro-RO"/>
                    </w:rPr>
                  </w:pPr>
                  <w:r>
                    <w:rPr>
                      <w:b/>
                      <w:sz w:val="30"/>
                      <w:szCs w:val="30"/>
                      <w:lang w:val="ro-RO"/>
                    </w:rPr>
                    <w:t xml:space="preserve">MEMORIU DE PREZENTARE A AMENAJAMENTULUI </w:t>
                  </w:r>
                  <w:r>
                    <w:rPr>
                      <w:rFonts w:eastAsia="Times New Roman" w:cs="Times New Roman"/>
                      <w:b/>
                      <w:sz w:val="30"/>
                      <w:szCs w:val="30"/>
                      <w:lang w:val="ro-RO" w:bidi="ar-SA"/>
                    </w:rPr>
                    <w:t>AFERENT</w:t>
                  </w:r>
                  <w:r>
                    <w:rPr>
                      <w:b/>
                      <w:sz w:val="30"/>
                      <w:szCs w:val="30"/>
                      <w:lang w:val="ro-RO"/>
                    </w:rPr>
                    <w:t xml:space="preserve"> </w:t>
                  </w:r>
                </w:p>
                <w:p>
                  <w:pPr>
                    <w:pStyle w:val="Normal"/>
                    <w:spacing w:lineRule="auto" w:line="360"/>
                    <w:jc w:val="center"/>
                    <w:rPr>
                      <w:b/>
                      <w:b/>
                      <w:sz w:val="30"/>
                      <w:szCs w:val="30"/>
                      <w:lang w:val="ro-RO"/>
                    </w:rPr>
                  </w:pPr>
                  <w:r>
                    <w:rPr>
                      <w:b/>
                      <w:sz w:val="30"/>
                      <w:szCs w:val="30"/>
                      <w:lang w:val="ro-RO"/>
                    </w:rPr>
                    <w:t xml:space="preserve">UP IV HĂȘMAȘ și UP V GROȘENI </w:t>
                  </w:r>
                </w:p>
                <w:p>
                  <w:pPr>
                    <w:pStyle w:val="Normal"/>
                    <w:spacing w:lineRule="auto" w:line="360"/>
                    <w:jc w:val="center"/>
                    <w:rPr>
                      <w:b/>
                      <w:b/>
                      <w:sz w:val="30"/>
                      <w:szCs w:val="30"/>
                      <w:lang w:val="ro-RO"/>
                    </w:rPr>
                  </w:pPr>
                  <w:r>
                    <w:rPr>
                      <w:b/>
                      <w:sz w:val="30"/>
                      <w:szCs w:val="30"/>
                      <w:lang w:val="ro-RO"/>
                    </w:rPr>
                    <w:t>DIN CADRUL</w:t>
                  </w:r>
                </w:p>
                <w:p>
                  <w:pPr>
                    <w:pStyle w:val="Normal"/>
                    <w:spacing w:lineRule="auto" w:line="360"/>
                    <w:jc w:val="center"/>
                    <w:rPr>
                      <w:b/>
                      <w:b/>
                      <w:sz w:val="30"/>
                      <w:szCs w:val="30"/>
                      <w:lang w:val="ro-RO"/>
                    </w:rPr>
                  </w:pPr>
                  <w:r>
                    <w:rPr>
                      <w:b/>
                      <w:sz w:val="30"/>
                      <w:szCs w:val="30"/>
                      <w:lang w:val="ro-RO"/>
                    </w:rPr>
                    <w:t>OCOLULUI  SILVIC  BELIU</w:t>
                  </w:r>
                </w:p>
                <w:p>
                  <w:pPr>
                    <w:pStyle w:val="Normal"/>
                    <w:spacing w:lineRule="auto" w:line="360"/>
                    <w:jc w:val="center"/>
                    <w:rPr/>
                  </w:pPr>
                  <w:r>
                    <w:rPr>
                      <w:b/>
                      <w:sz w:val="30"/>
                      <w:szCs w:val="30"/>
                      <w:lang w:val="ro-RO"/>
                    </w:rPr>
                    <w:t>pentru evaluarea adecvată a efectelor potenţiale asupra ariilor naturale protejate de interes comunitar</w:t>
                  </w:r>
                </w:p>
                <w:p>
                  <w:pPr>
                    <w:pStyle w:val="Normal"/>
                    <w:spacing w:lineRule="auto" w:line="360"/>
                    <w:jc w:val="center"/>
                    <w:rPr>
                      <w:b/>
                      <w:b/>
                      <w:sz w:val="30"/>
                      <w:szCs w:val="30"/>
                      <w:lang w:val="ro-RO"/>
                    </w:rPr>
                  </w:pPr>
                  <w:r>
                    <w:rPr>
                      <w:b/>
                      <w:sz w:val="30"/>
                      <w:szCs w:val="30"/>
                      <w:lang w:val="ro-RO"/>
                    </w:rPr>
                  </w:r>
                </w:p>
                <w:p>
                  <w:pPr>
                    <w:pStyle w:val="Normal"/>
                    <w:spacing w:lineRule="auto" w:line="360"/>
                    <w:jc w:val="center"/>
                    <w:rPr/>
                  </w:pPr>
                  <w:r>
                    <w:rPr>
                      <w:b/>
                      <w:sz w:val="30"/>
                      <w:szCs w:val="30"/>
                      <w:lang w:val="ro-RO"/>
                    </w:rPr>
                    <w:t xml:space="preserve">DIRECŢIA  SILVICĂ  ARAD </w:t>
                  </w:r>
                </w:p>
                <w:p>
                  <w:pPr>
                    <w:pStyle w:val="Heading"/>
                    <w:spacing w:lineRule="auto" w:line="360"/>
                    <w:rPr/>
                  </w:pPr>
                  <w:r>
                    <w:rPr>
                      <w:rFonts w:cs="Times New Roman" w:ascii="Times New Roman" w:hAnsi="Times New Roman"/>
                      <w:sz w:val="30"/>
                      <w:szCs w:val="30"/>
                    </w:rPr>
                    <w:t xml:space="preserve">JUDEŢUL ARAD </w:t>
                  </w:r>
                </w:p>
              </w:tc>
            </w:tr>
          </w:tbl>
          <w:p>
            <w:pPr>
              <w:pStyle w:val="Heading"/>
              <w:jc w:val="both"/>
              <w:rPr>
                <w:rFonts w:ascii="Times New Roman" w:hAnsi="Times New Roman" w:cs="Times New Roman"/>
                <w:sz w:val="26"/>
                <w:szCs w:val="26"/>
              </w:rPr>
            </w:pPr>
            <w:r>
              <w:rPr>
                <w:rFonts w:cs="Times New Roman" w:ascii="Times New Roman" w:hAnsi="Times New Roman"/>
                <w:sz w:val="26"/>
                <w:szCs w:val="26"/>
              </w:rPr>
            </w:r>
          </w:p>
          <w:p>
            <w:pPr>
              <w:pStyle w:val="Heading"/>
              <w:jc w:val="both"/>
              <w:rPr>
                <w:rFonts w:ascii="Times New Roman" w:hAnsi="Times New Roman" w:cs="Times New Roman"/>
                <w:sz w:val="26"/>
                <w:szCs w:val="26"/>
              </w:rPr>
            </w:pPr>
            <w:r>
              <w:rPr>
                <w:rFonts w:cs="Times New Roman" w:ascii="Times New Roman" w:hAnsi="Times New Roman"/>
                <w:sz w:val="26"/>
                <w:szCs w:val="26"/>
              </w:rPr>
            </w:r>
          </w:p>
          <w:p>
            <w:pPr>
              <w:pStyle w:val="Heading"/>
              <w:jc w:val="both"/>
              <w:rPr>
                <w:rFonts w:ascii="Times New Roman" w:hAnsi="Times New Roman" w:cs="Times New Roman"/>
                <w:sz w:val="26"/>
                <w:szCs w:val="26"/>
              </w:rPr>
            </w:pPr>
            <w:r>
              <w:rPr>
                <w:rFonts w:cs="Times New Roman" w:ascii="Times New Roman" w:hAnsi="Times New Roman"/>
                <w:sz w:val="26"/>
                <w:szCs w:val="26"/>
              </w:rPr>
            </w:r>
          </w:p>
          <w:p>
            <w:pPr>
              <w:pStyle w:val="Heading"/>
              <w:jc w:val="both"/>
              <w:rPr>
                <w:rFonts w:ascii="Times New Roman" w:hAnsi="Times New Roman" w:cs="Times New Roman"/>
                <w:sz w:val="26"/>
                <w:szCs w:val="26"/>
              </w:rPr>
            </w:pPr>
            <w:r>
              <w:rPr>
                <w:rFonts w:cs="Times New Roman" w:ascii="Times New Roman" w:hAnsi="Times New Roman"/>
                <w:sz w:val="26"/>
                <w:szCs w:val="26"/>
              </w:rPr>
            </w:r>
          </w:p>
          <w:p>
            <w:pPr>
              <w:pStyle w:val="Heading"/>
              <w:ind w:firstLine="709"/>
              <w:jc w:val="left"/>
              <w:rPr>
                <w:i w:val="false"/>
                <w:i w:val="false"/>
                <w:iCs w:val="false"/>
              </w:rPr>
            </w:pPr>
            <w:r>
              <w:rPr>
                <w:rFonts w:cs="Times New Roman" w:ascii="Times New Roman" w:hAnsi="Times New Roman"/>
                <w:i w:val="false"/>
                <w:iCs w:val="false"/>
                <w:sz w:val="26"/>
                <w:szCs w:val="26"/>
                <w:lang w:val="en-US" w:eastAsia="en-US"/>
              </w:rPr>
              <w:t xml:space="preserve">          </w:t>
            </w:r>
            <w:r>
              <w:rPr>
                <w:rFonts w:cs="Times New Roman" w:ascii="Times New Roman" w:hAnsi="Times New Roman"/>
                <w:i w:val="false"/>
                <w:iCs w:val="false"/>
                <w:sz w:val="26"/>
                <w:szCs w:val="26"/>
                <w:lang w:val="en-US" w:eastAsia="en-US"/>
              </w:rPr>
              <w:t xml:space="preserve">DIRECTOR: ing. </w:t>
            </w:r>
            <w:r>
              <w:rPr>
                <w:rFonts w:eastAsia="Times New Roman" w:cs="Times New Roman" w:ascii="Times New Roman" w:hAnsi="Times New Roman"/>
                <w:b/>
                <w:i w:val="false"/>
                <w:iCs w:val="false"/>
                <w:color w:val="auto"/>
                <w:kern w:val="0"/>
                <w:sz w:val="26"/>
                <w:szCs w:val="26"/>
                <w:lang w:val="en-US" w:eastAsia="en-US" w:bidi="ar-SA"/>
              </w:rPr>
              <w:t>Tigan Teodor</w:t>
            </w:r>
          </w:p>
          <w:p>
            <w:pPr>
              <w:pStyle w:val="Heading"/>
              <w:ind w:firstLine="281"/>
              <w:jc w:val="left"/>
              <w:rPr>
                <w:rFonts w:ascii="Times New Roman" w:hAnsi="Times New Roman" w:cs="Times New Roman"/>
                <w:i w:val="false"/>
                <w:i w:val="false"/>
                <w:iCs w:val="false"/>
                <w:sz w:val="26"/>
                <w:szCs w:val="26"/>
                <w:lang w:val="en-US" w:eastAsia="en-US"/>
              </w:rPr>
            </w:pPr>
            <w:r>
              <w:rPr>
                <w:rFonts w:cs="Times New Roman" w:ascii="Times New Roman" w:hAnsi="Times New Roman"/>
                <w:i w:val="false"/>
                <w:iCs w:val="false"/>
                <w:sz w:val="26"/>
                <w:szCs w:val="26"/>
                <w:lang w:val="en-US" w:eastAsia="en-US"/>
              </w:rPr>
            </w:r>
          </w:p>
          <w:p>
            <w:pPr>
              <w:pStyle w:val="Normal"/>
              <w:jc w:val="both"/>
              <w:rPr>
                <w:i w:val="false"/>
                <w:i w:val="false"/>
                <w:iCs w:val="false"/>
              </w:rPr>
            </w:pPr>
            <w:r>
              <w:rPr>
                <w:b/>
                <w:i w:val="false"/>
                <w:iCs w:val="false"/>
                <w:sz w:val="26"/>
                <w:szCs w:val="26"/>
              </w:rPr>
              <w:t xml:space="preserve">         </w:t>
            </w:r>
            <w:r>
              <w:rPr>
                <w:rFonts w:eastAsia="Times New Roman" w:cs="Times New Roman"/>
                <w:b/>
                <w:i w:val="false"/>
                <w:iCs w:val="false"/>
                <w:color w:val="auto"/>
                <w:kern w:val="0"/>
                <w:sz w:val="26"/>
                <w:szCs w:val="26"/>
                <w:lang w:val="ro-RO" w:eastAsia="zh-CN" w:bidi="ar-SA"/>
              </w:rPr>
              <w:t>Compatiment tehnic:</w:t>
            </w:r>
            <w:r>
              <w:rPr>
                <w:b/>
                <w:i w:val="false"/>
                <w:iCs w:val="false"/>
                <w:sz w:val="26"/>
                <w:szCs w:val="26"/>
              </w:rPr>
              <w:t xml:space="preserve"> </w:t>
            </w:r>
            <w:r>
              <w:rPr>
                <w:i w:val="false"/>
                <w:iCs w:val="false"/>
                <w:sz w:val="26"/>
                <w:szCs w:val="26"/>
              </w:rPr>
              <w:t xml:space="preserve"> </w:t>
            </w:r>
            <w:r>
              <w:rPr>
                <w:b/>
                <w:i w:val="false"/>
                <w:iCs w:val="false"/>
                <w:sz w:val="26"/>
                <w:szCs w:val="26"/>
              </w:rPr>
              <w:t xml:space="preserve">ing. </w:t>
            </w:r>
            <w:r>
              <w:rPr>
                <w:rFonts w:eastAsia="Times New Roman" w:cs="Times New Roman"/>
                <w:b/>
                <w:i w:val="false"/>
                <w:iCs w:val="false"/>
                <w:color w:val="auto"/>
                <w:kern w:val="0"/>
                <w:sz w:val="26"/>
                <w:szCs w:val="26"/>
                <w:lang w:val="ro-RO" w:eastAsia="zh-CN" w:bidi="ar-SA"/>
              </w:rPr>
              <w:t>Pascalau M. Mircea</w:t>
            </w:r>
          </w:p>
          <w:p>
            <w:pPr>
              <w:pStyle w:val="Normal"/>
              <w:jc w:val="both"/>
              <w:rPr>
                <w:i w:val="false"/>
                <w:i w:val="false"/>
                <w:iCs w:val="false"/>
              </w:rPr>
            </w:pPr>
            <w:r>
              <w:rPr>
                <w:i w:val="false"/>
                <w:iCs w:val="false"/>
              </w:rPr>
            </w:r>
          </w:p>
          <w:p>
            <w:pPr>
              <w:pStyle w:val="Normal"/>
              <w:jc w:val="both"/>
              <w:rPr>
                <w:i w:val="false"/>
                <w:i w:val="false"/>
                <w:iCs w:val="false"/>
              </w:rPr>
            </w:pPr>
            <w:r>
              <w:rPr>
                <w:rFonts w:eastAsia="Times New Roman" w:cs="Times New Roman"/>
                <w:b/>
                <w:i w:val="false"/>
                <w:iCs w:val="false"/>
                <w:color w:val="auto"/>
                <w:kern w:val="0"/>
                <w:sz w:val="26"/>
                <w:szCs w:val="26"/>
                <w:lang w:val="ro-RO" w:eastAsia="zh-CN" w:bidi="ar-SA"/>
              </w:rPr>
              <w:t xml:space="preserve">                              </w:t>
            </w:r>
            <w:r>
              <w:rPr>
                <w:rFonts w:eastAsia="Times New Roman" w:cs="Times New Roman"/>
                <w:b/>
                <w:i w:val="false"/>
                <w:iCs w:val="false"/>
                <w:color w:val="auto"/>
                <w:kern w:val="0"/>
                <w:sz w:val="26"/>
                <w:szCs w:val="26"/>
                <w:lang w:val="ro-RO" w:eastAsia="zh-CN" w:bidi="ar-SA"/>
              </w:rPr>
              <w:t>Șef Ocol: Tolea Ionel</w:t>
            </w:r>
          </w:p>
          <w:p>
            <w:pPr>
              <w:pStyle w:val="Normal"/>
              <w:jc w:val="both"/>
              <w:rPr>
                <w:i w:val="false"/>
                <w:i w:val="false"/>
                <w:iCs w:val="false"/>
              </w:rPr>
            </w:pPr>
            <w:r>
              <w:rPr>
                <w:i w:val="false"/>
                <w:iCs w:val="false"/>
              </w:rPr>
            </w:r>
          </w:p>
          <w:p>
            <w:pPr>
              <w:pStyle w:val="Normal"/>
              <w:jc w:val="both"/>
              <w:rPr>
                <w:i w:val="false"/>
                <w:i w:val="false"/>
                <w:iCs w:val="false"/>
              </w:rPr>
            </w:pPr>
            <w:r>
              <w:rPr>
                <w:rFonts w:eastAsia="Times New Roman" w:cs="Times New Roman"/>
                <w:b/>
                <w:i w:val="false"/>
                <w:iCs w:val="false"/>
                <w:color w:val="auto"/>
                <w:kern w:val="0"/>
                <w:sz w:val="26"/>
                <w:szCs w:val="26"/>
                <w:lang w:val="ro-RO" w:eastAsia="zh-CN" w:bidi="ar-SA"/>
              </w:rPr>
              <w:t xml:space="preserve">     </w:t>
            </w:r>
          </w:p>
          <w:p>
            <w:pPr>
              <w:pStyle w:val="Normal"/>
              <w:jc w:val="right"/>
              <w:rPr>
                <w:rFonts w:ascii="Times New Roman" w:hAnsi="Times New Roman" w:cs="Times New Roman"/>
                <w:sz w:val="26"/>
                <w:szCs w:val="26"/>
                <w:highlight w:val="yellow"/>
                <w:lang w:val="ro-RO"/>
              </w:rPr>
            </w:pPr>
            <w:r>
              <w:rPr>
                <w:rFonts w:cs="Times New Roman"/>
                <w:b/>
                <w:bCs/>
                <w:sz w:val="26"/>
                <w:szCs w:val="26"/>
                <w:lang w:val="ro-RO"/>
              </w:rPr>
              <w:t>Întocmit,</w:t>
            </w:r>
            <w:r>
              <w:rPr>
                <w:rFonts w:cs="Times New Roman"/>
                <w:sz w:val="26"/>
                <w:szCs w:val="26"/>
                <w:highlight w:val="yellow"/>
                <w:lang w:val="ro-RO"/>
              </w:rPr>
              <w:t xml:space="preserve"> </w:t>
            </w:r>
          </w:p>
          <w:p>
            <w:pPr>
              <w:pStyle w:val="Heading"/>
              <w:jc w:val="right"/>
              <w:rPr/>
            </w:pPr>
            <w:r>
              <w:rPr/>
              <w:t>ing. Cristea Nicoleta</w:t>
            </w:r>
          </w:p>
          <w:p>
            <w:pPr>
              <w:pStyle w:val="Heading"/>
              <w:rPr>
                <w:rFonts w:ascii="Times New Roman" w:hAnsi="Times New Roman" w:cs="Times New Roman"/>
                <w:sz w:val="26"/>
                <w:szCs w:val="26"/>
              </w:rPr>
            </w:pPr>
            <w:r>
              <w:rPr>
                <w:rFonts w:cs="Times New Roman" w:ascii="Times New Roman" w:hAnsi="Times New Roman"/>
                <w:sz w:val="26"/>
                <w:szCs w:val="26"/>
              </w:rPr>
            </w:r>
          </w:p>
          <w:p>
            <w:pPr>
              <w:pStyle w:val="Heading"/>
              <w:spacing w:lineRule="auto" w:line="360"/>
              <w:rPr>
                <w:rFonts w:ascii="Times New Roman" w:hAnsi="Times New Roman" w:cs="Times New Roman"/>
                <w:sz w:val="30"/>
                <w:szCs w:val="30"/>
              </w:rPr>
            </w:pPr>
            <w:r>
              <w:rPr>
                <w:rFonts w:cs="Times New Roman" w:ascii="Times New Roman" w:hAnsi="Times New Roman"/>
                <w:sz w:val="30"/>
                <w:szCs w:val="30"/>
              </w:rPr>
              <w:t>2024</w:t>
            </w:r>
          </w:p>
        </w:tc>
      </w:tr>
    </w:tbl>
    <w:p>
      <w:pPr>
        <w:pStyle w:val="Normal"/>
        <w:rPr>
          <w:b/>
          <w:b/>
          <w:color w:val="FF0000"/>
          <w:u w:val="single"/>
          <w:lang w:val="ro-RO"/>
        </w:rPr>
      </w:pPr>
      <w:r>
        <w:rPr>
          <w:b/>
          <w:color w:val="FF0000"/>
          <w:u w:val="single"/>
          <w:lang w:val="ro-RO"/>
        </w:rPr>
      </w:r>
    </w:p>
    <w:p>
      <w:pPr>
        <w:pStyle w:val="Heading"/>
        <w:rPr>
          <w:rFonts w:ascii="Times New Roman" w:hAnsi="Times New Roman" w:cs="Times New Roman"/>
          <w:b w:val="false"/>
          <w:b w:val="false"/>
          <w:sz w:val="28"/>
          <w:szCs w:val="28"/>
        </w:rPr>
      </w:pPr>
      <w:r>
        <w:rPr>
          <w:rFonts w:cs="Times New Roman" w:ascii="Times New Roman" w:hAnsi="Times New Roman"/>
          <w:sz w:val="28"/>
          <w:szCs w:val="28"/>
        </w:rPr>
        <w:t>C U P R I N S</w:t>
      </w:r>
    </w:p>
    <w:p>
      <w:pPr>
        <w:pStyle w:val="Normal"/>
        <w:jc w:val="center"/>
        <w:rPr>
          <w:b/>
          <w:b/>
          <w:color w:val="FF0000"/>
          <w:sz w:val="28"/>
          <w:szCs w:val="28"/>
        </w:rPr>
      </w:pPr>
      <w:r>
        <w:rPr>
          <w:b/>
          <w:color w:val="FF0000"/>
          <w:sz w:val="28"/>
          <w:szCs w:val="28"/>
        </w:rPr>
      </w:r>
    </w:p>
    <w:sdt>
      <w:sdtPr>
        <w:docPartObj>
          <w:docPartGallery w:val="Table of Contents"/>
          <w:docPartUnique w:val="true"/>
        </w:docPartObj>
      </w:sdtPr>
      <w:sdtContent>
        <w:p>
          <w:pPr>
            <w:pStyle w:val="Contents1"/>
            <w:rPr/>
          </w:pPr>
          <w:r>
            <w:fldChar w:fldCharType="begin"/>
          </w:r>
          <w:r>
            <w:rPr>
              <w:webHidden/>
              <w:rStyle w:val="IndexLink"/>
              <w:vanish w:val="false"/>
              <w:rFonts w:eastAsia="Symbol"/>
            </w:rPr>
            <w:instrText> TOC \z \o "1-3" \u \h</w:instrText>
          </w:r>
          <w:r>
            <w:rPr>
              <w:webHidden/>
              <w:rStyle w:val="IndexLink"/>
              <w:vanish w:val="false"/>
              <w:rFonts w:eastAsia="Symbol"/>
            </w:rPr>
            <w:fldChar w:fldCharType="separate"/>
          </w:r>
          <w:hyperlink w:anchor="_Toc171938294">
            <w:r>
              <w:rPr>
                <w:webHidden/>
                <w:rStyle w:val="IndexLink"/>
                <w:rFonts w:eastAsia="Symbol"/>
                <w:vanish w:val="false"/>
              </w:rPr>
              <w:t>Acronime</w:t>
            </w:r>
            <w:r>
              <w:rPr>
                <w:webHidden/>
              </w:rPr>
              <w:fldChar w:fldCharType="begin"/>
            </w:r>
            <w:r>
              <w:rPr>
                <w:webHidden/>
              </w:rPr>
              <w:instrText>PAGEREF _Toc171938294 \h</w:instrText>
            </w:r>
            <w:r>
              <w:rPr>
                <w:webHidden/>
              </w:rPr>
              <w:fldChar w:fldCharType="separate"/>
            </w:r>
            <w:r>
              <w:rPr>
                <w:rStyle w:val="IndexLink"/>
                <w:vanish w:val="false"/>
              </w:rPr>
              <w:tab/>
              <w:t>3</w:t>
            </w:r>
            <w:r>
              <w:rPr>
                <w:webHidden/>
              </w:rPr>
              <w:fldChar w:fldCharType="end"/>
            </w:r>
          </w:hyperlink>
        </w:p>
        <w:p>
          <w:pPr>
            <w:pStyle w:val="Normal"/>
            <w:rPr>
              <w:vanish w:val="false"/>
            </w:rPr>
          </w:pPr>
          <w:r>
            <w:rPr>
              <w:vanish w:val="false"/>
            </w:rPr>
          </w:r>
        </w:p>
        <w:p>
          <w:pPr>
            <w:pStyle w:val="Contents1"/>
            <w:rPr/>
          </w:pPr>
          <w:hyperlink w:anchor="_Toc171938295">
            <w:r>
              <w:rPr>
                <w:webHidden/>
                <w:rStyle w:val="IndexLink"/>
                <w:rFonts w:eastAsia="Symbol"/>
                <w:vanish w:val="false"/>
              </w:rPr>
              <w:t>Necesitatea și oportunitatea elaborării studiului</w:t>
            </w:r>
            <w:r>
              <w:rPr>
                <w:webHidden/>
              </w:rPr>
              <w:fldChar w:fldCharType="begin"/>
            </w:r>
            <w:r>
              <w:rPr>
                <w:webHidden/>
              </w:rPr>
              <w:instrText>PAGEREF _Toc171938295 \h</w:instrText>
            </w:r>
            <w:r>
              <w:rPr>
                <w:webHidden/>
              </w:rPr>
              <w:fldChar w:fldCharType="separate"/>
            </w:r>
            <w:r>
              <w:rPr>
                <w:rStyle w:val="IndexLink"/>
                <w:vanish w:val="false"/>
              </w:rPr>
              <w:tab/>
              <w:t>4</w:t>
            </w:r>
            <w:r>
              <w:rPr>
                <w:webHidden/>
              </w:rPr>
              <w:fldChar w:fldCharType="end"/>
            </w:r>
          </w:hyperlink>
        </w:p>
        <w:p>
          <w:pPr>
            <w:pStyle w:val="Normal"/>
            <w:rPr>
              <w:vanish w:val="false"/>
            </w:rPr>
          </w:pPr>
          <w:r>
            <w:rPr>
              <w:vanish w:val="false"/>
            </w:rPr>
          </w:r>
        </w:p>
        <w:p>
          <w:pPr>
            <w:pStyle w:val="Contents1"/>
            <w:rPr/>
          </w:pPr>
          <w:hyperlink w:anchor="_Toc171938296">
            <w:r>
              <w:rPr>
                <w:webHidden/>
                <w:rStyle w:val="IndexLink"/>
                <w:rFonts w:eastAsia="Symbol"/>
                <w:vanish w:val="false"/>
              </w:rPr>
              <w:t>A. Descrierea succintă a Amenajamentului</w:t>
            </w:r>
          </w:hyperlink>
          <w:r>
            <w:rPr>
              <w:rFonts w:eastAsia="Symbol"/>
              <w:vanish w:val="false"/>
            </w:rPr>
            <w:t xml:space="preserve"> </w:t>
          </w:r>
          <w:hyperlink w:anchor="_Toc171938297">
            <w:r>
              <w:rPr>
                <w:webHidden/>
                <w:rStyle w:val="IndexLink"/>
                <w:rFonts w:eastAsia="Symbol"/>
                <w:vanish w:val="false"/>
              </w:rPr>
              <w:t xml:space="preserve">U.P. IV HĂȘMAȘ si U.P. V </w:t>
            </w:r>
            <w:r>
              <w:rPr>
                <w:rStyle w:val="IndexLink"/>
                <w:rFonts w:eastAsia="Symbol"/>
                <w:lang w:val="ro-RO"/>
              </w:rPr>
              <w:t>GROȘENI</w:t>
            </w:r>
            <w:r>
              <w:rPr>
                <w:rStyle w:val="IndexLink"/>
                <w:rFonts w:eastAsia="Symbol"/>
              </w:rPr>
              <w:t>, și distanța față de Aria Naturală Protejată de Interes Comunitar (ANPIC)</w:t>
            </w:r>
            <w:r>
              <w:rPr>
                <w:webHidden/>
              </w:rPr>
              <w:fldChar w:fldCharType="begin"/>
            </w:r>
            <w:r>
              <w:rPr>
                <w:webHidden/>
              </w:rPr>
              <w:instrText>PAGEREF _Toc171938297 \h</w:instrText>
            </w:r>
            <w:r>
              <w:rPr>
                <w:webHidden/>
              </w:rPr>
              <w:fldChar w:fldCharType="separate"/>
            </w:r>
            <w:r>
              <w:rPr>
                <w:rStyle w:val="IndexLink"/>
                <w:vanish w:val="false"/>
              </w:rPr>
              <w:tab/>
              <w:t>5</w:t>
            </w:r>
            <w:r>
              <w:rPr>
                <w:webHidden/>
              </w:rPr>
              <w:fldChar w:fldCharType="end"/>
            </w:r>
          </w:hyperlink>
        </w:p>
        <w:p>
          <w:pPr>
            <w:pStyle w:val="Normal"/>
            <w:rPr>
              <w:vanish w:val="false"/>
            </w:rPr>
          </w:pPr>
          <w:r>
            <w:rPr>
              <w:vanish w:val="false"/>
            </w:rPr>
          </w:r>
        </w:p>
        <w:p>
          <w:pPr>
            <w:pStyle w:val="Contents1"/>
            <w:rPr/>
          </w:pPr>
          <w:hyperlink w:anchor="_Toc171938298">
            <w:r>
              <w:rPr>
                <w:webHidden/>
                <w:rStyle w:val="IndexLink"/>
                <w:rFonts w:eastAsia="Symbol"/>
                <w:vanish w:val="false"/>
              </w:rPr>
              <w:t>B. Numele și codul ariei naturale protejate de interes comunitar (ANPIC)</w:t>
            </w:r>
            <w:r>
              <w:rPr>
                <w:webHidden/>
              </w:rPr>
              <w:fldChar w:fldCharType="begin"/>
            </w:r>
            <w:r>
              <w:rPr>
                <w:webHidden/>
              </w:rPr>
              <w:instrText>PAGEREF _Toc171938298 \h</w:instrText>
            </w:r>
            <w:r>
              <w:rPr>
                <w:webHidden/>
              </w:rPr>
              <w:fldChar w:fldCharType="separate"/>
            </w:r>
            <w:r>
              <w:rPr>
                <w:rStyle w:val="IndexLink"/>
                <w:vanish w:val="false"/>
              </w:rPr>
              <w:tab/>
              <w:t>12</w:t>
            </w:r>
            <w:r>
              <w:rPr>
                <w:webHidden/>
              </w:rPr>
              <w:fldChar w:fldCharType="end"/>
            </w:r>
          </w:hyperlink>
        </w:p>
        <w:p>
          <w:pPr>
            <w:pStyle w:val="Normal"/>
            <w:rPr>
              <w:vanish w:val="false"/>
            </w:rPr>
          </w:pPr>
          <w:r>
            <w:rPr>
              <w:vanish w:val="false"/>
            </w:rPr>
          </w:r>
        </w:p>
        <w:p>
          <w:pPr>
            <w:pStyle w:val="Contents2"/>
            <w:rPr/>
          </w:pPr>
          <w:hyperlink w:anchor="_Toc171938299">
            <w:r>
              <w:rPr>
                <w:webHidden/>
                <w:rStyle w:val="IndexLink"/>
                <w:rFonts w:eastAsia="Symbol"/>
                <w:vanish w:val="false"/>
              </w:rPr>
              <w:t>B.1. Identificarea ANPIC potențial afectate de amenajamentul</w:t>
            </w:r>
            <w:r>
              <w:rPr>
                <w:webHidden/>
              </w:rPr>
              <w:fldChar w:fldCharType="begin"/>
            </w:r>
            <w:r>
              <w:rPr>
                <w:webHidden/>
              </w:rPr>
              <w:instrText>PAGEREF _Toc171938299 \h</w:instrText>
            </w:r>
            <w:r>
              <w:rPr>
                <w:webHidden/>
              </w:rPr>
              <w:fldChar w:fldCharType="separate"/>
            </w:r>
            <w:r>
              <w:rPr>
                <w:rStyle w:val="IndexLink"/>
                <w:vanish w:val="false"/>
              </w:rPr>
              <w:tab/>
              <w:t>12</w:t>
            </w:r>
            <w:r>
              <w:rPr>
                <w:webHidden/>
              </w:rPr>
              <w:fldChar w:fldCharType="end"/>
            </w:r>
          </w:hyperlink>
        </w:p>
        <w:p>
          <w:pPr>
            <w:pStyle w:val="Normal"/>
            <w:rPr>
              <w:vanish w:val="false"/>
            </w:rPr>
          </w:pPr>
          <w:r>
            <w:rPr>
              <w:vanish w:val="false"/>
            </w:rPr>
          </w:r>
        </w:p>
        <w:p>
          <w:pPr>
            <w:pStyle w:val="Contents3"/>
            <w:rPr/>
          </w:pPr>
          <w:hyperlink w:anchor="_Toc171938300">
            <w:r>
              <w:rPr>
                <w:webHidden/>
                <w:rStyle w:val="IndexLink"/>
                <w:rFonts w:eastAsia="Symbol"/>
                <w:vanish w:val="false"/>
              </w:rPr>
              <w:t>B.1.1. Identificarea ANPIC intersectate</w:t>
            </w:r>
            <w:r>
              <w:rPr>
                <w:webHidden/>
              </w:rPr>
              <w:fldChar w:fldCharType="begin"/>
            </w:r>
            <w:r>
              <w:rPr>
                <w:webHidden/>
              </w:rPr>
              <w:instrText>PAGEREF _Toc171938300 \h</w:instrText>
            </w:r>
            <w:r>
              <w:rPr>
                <w:webHidden/>
              </w:rPr>
              <w:fldChar w:fldCharType="separate"/>
            </w:r>
            <w:r>
              <w:rPr>
                <w:rStyle w:val="IndexLink"/>
                <w:vanish w:val="false"/>
              </w:rPr>
              <w:tab/>
              <w:t>12</w:t>
            </w:r>
            <w:r>
              <w:rPr>
                <w:webHidden/>
              </w:rPr>
              <w:fldChar w:fldCharType="end"/>
            </w:r>
          </w:hyperlink>
        </w:p>
        <w:p>
          <w:pPr>
            <w:pStyle w:val="Normal"/>
            <w:rPr>
              <w:vanish w:val="false"/>
            </w:rPr>
          </w:pPr>
          <w:r>
            <w:rPr>
              <w:vanish w:val="false"/>
            </w:rPr>
          </w:r>
        </w:p>
        <w:p>
          <w:pPr>
            <w:pStyle w:val="Contents3"/>
            <w:rPr/>
          </w:pPr>
          <w:hyperlink w:anchor="_Toc171938301">
            <w:r>
              <w:rPr>
                <w:webHidden/>
                <w:rStyle w:val="IndexLink"/>
                <w:rFonts w:eastAsia="Symbol"/>
                <w:vanish w:val="false"/>
              </w:rPr>
              <w:t>B.1.2. Identificarea ANPIC învecinate</w:t>
            </w:r>
            <w:r>
              <w:rPr>
                <w:webHidden/>
              </w:rPr>
              <w:fldChar w:fldCharType="begin"/>
            </w:r>
            <w:r>
              <w:rPr>
                <w:webHidden/>
              </w:rPr>
              <w:instrText>PAGEREF _Toc171938301 \h</w:instrText>
            </w:r>
            <w:r>
              <w:rPr>
                <w:webHidden/>
              </w:rPr>
              <w:fldChar w:fldCharType="separate"/>
            </w:r>
            <w:r>
              <w:rPr>
                <w:rStyle w:val="IndexLink"/>
                <w:vanish w:val="false"/>
              </w:rPr>
              <w:tab/>
              <w:t>12</w:t>
            </w:r>
            <w:r>
              <w:rPr>
                <w:webHidden/>
              </w:rPr>
              <w:fldChar w:fldCharType="end"/>
            </w:r>
          </w:hyperlink>
        </w:p>
        <w:p>
          <w:pPr>
            <w:pStyle w:val="Normal"/>
            <w:rPr>
              <w:vanish w:val="false"/>
            </w:rPr>
          </w:pPr>
          <w:r>
            <w:rPr>
              <w:vanish w:val="false"/>
            </w:rPr>
          </w:r>
        </w:p>
        <w:p>
          <w:pPr>
            <w:pStyle w:val="Contents1"/>
            <w:rPr/>
          </w:pPr>
          <w:hyperlink w:anchor="_Toc171938302">
            <w:r>
              <w:rPr>
                <w:webHidden/>
                <w:rStyle w:val="IndexLink"/>
                <w:rFonts w:eastAsia="Symbol"/>
                <w:vanish w:val="false"/>
              </w:rPr>
              <w:t>C. Prezența și efectivele/suprafețele acoperite de specii și habitate de interes comunitar în zona Amenajamentului</w:t>
            </w:r>
          </w:hyperlink>
          <w:hyperlink w:anchor="_Toc171938303">
            <w:r>
              <w:rPr>
                <w:webHidden/>
              </w:rPr>
              <w:fldChar w:fldCharType="begin"/>
            </w:r>
            <w:r>
              <w:rPr>
                <w:webHidden/>
              </w:rPr>
              <w:instrText>PAGEREF _Toc171938303 \h</w:instrText>
            </w:r>
            <w:r>
              <w:rPr>
                <w:webHidden/>
              </w:rPr>
              <w:fldChar w:fldCharType="separate"/>
            </w:r>
            <w:r>
              <w:rPr>
                <w:webHidden/>
                <w:rStyle w:val="IndexLink"/>
                <w:rFonts w:eastAsia="Symbol"/>
                <w:vanish w:val="false"/>
                <w:lang w:val="ro-RO"/>
              </w:rPr>
              <w:t xml:space="preserve"> U.P. IV </w:t>
            </w:r>
            <w:r>
              <w:rPr>
                <w:webHidden/>
              </w:rPr>
              <w:fldChar w:fldCharType="end"/>
            </w:r>
          </w:hyperlink>
          <w:r>
            <w:rPr>
              <w:rFonts w:eastAsia="Symbol" w:cs="Times New Roman"/>
              <w:vanish w:val="false"/>
              <w:color w:val="auto"/>
              <w:kern w:val="0"/>
              <w:sz w:val="24"/>
              <w:szCs w:val="24"/>
              <w:lang w:val="ro-RO" w:eastAsia="en-US" w:bidi="ar-SA"/>
            </w:rPr>
            <w:t>Hasmas</w:t>
          </w:r>
          <w:r>
            <w:rPr>
              <w:rFonts w:eastAsia="Symbol"/>
              <w:vanish w:val="false"/>
              <w:lang w:val="ro-RO"/>
            </w:rPr>
            <w:t xml:space="preserve"> și U.P. V </w:t>
          </w:r>
          <w:hyperlink w:anchor="_Toc171938303">
            <w:r>
              <w:rPr>
                <w:webHidden/>
                <w:rStyle w:val="IndexLink"/>
                <w:rFonts w:eastAsia="Symbol" w:cs="Times New Roman"/>
                <w:vanish w:val="false"/>
                <w:color w:val="auto"/>
                <w:kern w:val="0"/>
                <w:sz w:val="24"/>
                <w:szCs w:val="24"/>
                <w:lang w:val="ro-RO" w:eastAsia="en-US" w:bidi="ar-SA"/>
              </w:rPr>
              <w:t>Groseni</w:t>
            </w:r>
          </w:hyperlink>
          <w:r>
            <w:rPr>
              <w:rFonts w:eastAsia="Symbol" w:cs="Times New Roman"/>
              <w:vanish w:val="false"/>
              <w:color w:val="auto"/>
              <w:kern w:val="0"/>
              <w:sz w:val="24"/>
              <w:szCs w:val="24"/>
              <w:lang w:val="ro-RO" w:eastAsia="en-US" w:bidi="ar-SA"/>
            </w:rPr>
            <w:t xml:space="preserve"> </w:t>
          </w:r>
          <w:hyperlink w:anchor="_Toc171938303">
            <w:r>
              <w:rPr>
                <w:webHidden/>
              </w:rPr>
              <w:fldChar w:fldCharType="begin"/>
            </w:r>
            <w:r>
              <w:rPr>
                <w:webHidden/>
              </w:rPr>
              <w:instrText>PAGEREF _Toc171938303 \h</w:instrText>
            </w:r>
            <w:r>
              <w:rPr>
                <w:webHidden/>
              </w:rPr>
              <w:fldChar w:fldCharType="separate"/>
            </w:r>
            <w:r>
              <w:rPr>
                <w:webHidden/>
                <w:rStyle w:val="IndexLink"/>
                <w:vanish w:val="false"/>
              </w:rPr>
              <w:tab/>
              <w:t>14</w:t>
            </w:r>
            <w:r>
              <w:rPr>
                <w:webHidden/>
              </w:rPr>
              <w:fldChar w:fldCharType="end"/>
            </w:r>
          </w:hyperlink>
        </w:p>
        <w:p>
          <w:pPr>
            <w:pStyle w:val="Normal"/>
            <w:rPr>
              <w:vanish w:val="false"/>
            </w:rPr>
          </w:pPr>
          <w:r>
            <w:rPr>
              <w:vanish w:val="false"/>
            </w:rPr>
          </w:r>
        </w:p>
        <w:p>
          <w:pPr>
            <w:pStyle w:val="Contents1"/>
            <w:rPr/>
          </w:pPr>
          <w:hyperlink w:anchor="_Toc171938304">
            <w:r>
              <w:rPr>
                <w:webHidden/>
                <w:rStyle w:val="IndexLink"/>
                <w:rFonts w:eastAsia="Symbol"/>
                <w:vanish w:val="false"/>
              </w:rPr>
              <w:t>D. Prezentarea legăturii directe a Amenajamentului</w:t>
            </w:r>
          </w:hyperlink>
          <w:r>
            <w:rPr>
              <w:rFonts w:eastAsia="Symbol"/>
              <w:vanish w:val="false"/>
            </w:rPr>
            <w:t xml:space="preserve"> </w:t>
          </w:r>
          <w:hyperlink w:anchor="_Toc171938305">
            <w:r>
              <w:rPr>
                <w:webHidden/>
                <w:rStyle w:val="IndexLink"/>
                <w:rFonts w:eastAsia="Symbol"/>
                <w:vanish w:val="false"/>
              </w:rPr>
              <w:t>sau necesitatea acestora pentru managementul conservării ANPIC</w:t>
            </w:r>
            <w:r>
              <w:rPr>
                <w:webHidden/>
              </w:rPr>
              <w:fldChar w:fldCharType="begin"/>
            </w:r>
            <w:r>
              <w:rPr>
                <w:webHidden/>
              </w:rPr>
              <w:instrText>PAGEREF _Toc171938305 \h</w:instrText>
            </w:r>
            <w:r>
              <w:rPr>
                <w:webHidden/>
              </w:rPr>
              <w:fldChar w:fldCharType="separate"/>
            </w:r>
            <w:r>
              <w:rPr>
                <w:rStyle w:val="IndexLink"/>
                <w:vanish w:val="false"/>
              </w:rPr>
              <w:tab/>
              <w:t>14</w:t>
            </w:r>
            <w:r>
              <w:rPr>
                <w:webHidden/>
              </w:rPr>
              <w:fldChar w:fldCharType="end"/>
            </w:r>
          </w:hyperlink>
        </w:p>
        <w:p>
          <w:pPr>
            <w:pStyle w:val="Normal"/>
            <w:rPr>
              <w:vanish w:val="false"/>
            </w:rPr>
          </w:pPr>
          <w:r>
            <w:rPr>
              <w:vanish w:val="false"/>
            </w:rPr>
          </w:r>
        </w:p>
        <w:p>
          <w:pPr>
            <w:pStyle w:val="Contents1"/>
            <w:rPr/>
          </w:pPr>
          <w:hyperlink w:anchor="_Toc171938306">
            <w:r>
              <w:rPr>
                <w:webHidden/>
                <w:rStyle w:val="IndexLink"/>
                <w:rFonts w:eastAsia="Symbol"/>
                <w:vanish w:val="false"/>
              </w:rPr>
              <w:t xml:space="preserve">E. Estimarea impactului potențial al Amenajamentului asupra speciilor şi habitatelor pentru care ANPIC </w:t>
            </w:r>
            <w:r>
              <w:rPr>
                <w:rStyle w:val="IndexLink"/>
                <w:rFonts w:eastAsia="Symbol"/>
                <w:lang w:val="ro-RO"/>
              </w:rPr>
              <w:t>ROSCI0042 – Codru Moma</w:t>
            </w:r>
            <w:r>
              <w:rPr>
                <w:rStyle w:val="IndexLink"/>
                <w:rFonts w:eastAsia="Symbol"/>
              </w:rPr>
              <w:t xml:space="preserve"> a fost desemnata</w:t>
            </w:r>
            <w:r>
              <w:rPr>
                <w:webHidden/>
              </w:rPr>
              <w:fldChar w:fldCharType="begin"/>
            </w:r>
            <w:r>
              <w:rPr>
                <w:webHidden/>
              </w:rPr>
              <w:instrText>PAGEREF _Toc171938306 \h</w:instrText>
            </w:r>
            <w:r>
              <w:rPr>
                <w:webHidden/>
              </w:rPr>
              <w:fldChar w:fldCharType="separate"/>
            </w:r>
            <w:r>
              <w:rPr>
                <w:rStyle w:val="IndexLink"/>
                <w:vanish w:val="false"/>
              </w:rPr>
              <w:tab/>
              <w:t>16</w:t>
            </w:r>
            <w:r>
              <w:rPr>
                <w:webHidden/>
              </w:rPr>
              <w:fldChar w:fldCharType="end"/>
            </w:r>
          </w:hyperlink>
        </w:p>
        <w:p>
          <w:pPr>
            <w:pStyle w:val="Normal"/>
            <w:rPr>
              <w:vanish w:val="false"/>
            </w:rPr>
          </w:pPr>
          <w:r>
            <w:rPr>
              <w:vanish w:val="false"/>
            </w:rPr>
          </w:r>
        </w:p>
        <w:p>
          <w:pPr>
            <w:pStyle w:val="Contents2"/>
            <w:rPr/>
          </w:pPr>
          <w:hyperlink w:anchor="_Toc171938307">
            <w:r>
              <w:rPr>
                <w:webHidden/>
                <w:rStyle w:val="IndexLink"/>
                <w:rFonts w:eastAsia="Symbol"/>
                <w:vanish w:val="false"/>
              </w:rPr>
              <w:t>E.1. Identificarea şi estimarea impactului</w:t>
            </w:r>
            <w:r>
              <w:rPr>
                <w:webHidden/>
              </w:rPr>
              <w:fldChar w:fldCharType="begin"/>
            </w:r>
            <w:r>
              <w:rPr>
                <w:webHidden/>
              </w:rPr>
              <w:instrText>PAGEREF _Toc171938307 \h</w:instrText>
            </w:r>
            <w:r>
              <w:rPr>
                <w:webHidden/>
              </w:rPr>
              <w:fldChar w:fldCharType="separate"/>
            </w:r>
            <w:r>
              <w:rPr>
                <w:rStyle w:val="IndexLink"/>
                <w:vanish w:val="false"/>
              </w:rPr>
              <w:tab/>
              <w:t>16</w:t>
            </w:r>
            <w:r>
              <w:rPr>
                <w:webHidden/>
              </w:rPr>
              <w:fldChar w:fldCharType="end"/>
            </w:r>
          </w:hyperlink>
        </w:p>
        <w:p>
          <w:pPr>
            <w:pStyle w:val="Normal"/>
            <w:rPr>
              <w:vanish w:val="false"/>
            </w:rPr>
          </w:pPr>
          <w:r>
            <w:rPr>
              <w:vanish w:val="false"/>
            </w:rPr>
          </w:r>
        </w:p>
        <w:p>
          <w:pPr>
            <w:pStyle w:val="Contents2"/>
            <w:rPr/>
          </w:pPr>
          <w:hyperlink w:anchor="_Toc171938308">
            <w:r>
              <w:rPr>
                <w:webHidden/>
                <w:rStyle w:val="IndexLink"/>
                <w:rFonts w:eastAsia="Symbol"/>
                <w:vanish w:val="false"/>
              </w:rPr>
              <w:t>E.2.  Identificarea incertitudinilor ……………………………………………………………</w:t>
            </w:r>
            <w:r>
              <w:rPr>
                <w:rStyle w:val="IndexLink"/>
                <w:vanish w:val="false"/>
              </w:rPr>
              <w:t>1</w:t>
            </w:r>
          </w:hyperlink>
          <w:r>
            <w:rPr>
              <w:vanish w:val="false"/>
            </w:rPr>
            <w:t>8</w:t>
          </w:r>
        </w:p>
        <w:p>
          <w:pPr>
            <w:pStyle w:val="Normal"/>
            <w:rPr>
              <w:vanish w:val="false"/>
            </w:rPr>
          </w:pPr>
          <w:r>
            <w:rPr>
              <w:vanish w:val="false"/>
            </w:rPr>
          </w:r>
        </w:p>
        <w:p>
          <w:pPr>
            <w:pStyle w:val="Contents2"/>
            <w:rPr/>
          </w:pPr>
          <w:hyperlink w:anchor="_Toc171938309">
            <w:r>
              <w:rPr>
                <w:webHidden/>
                <w:rStyle w:val="IndexLink"/>
                <w:rFonts w:eastAsia="Symbol"/>
                <w:vanish w:val="false"/>
              </w:rPr>
              <w:t>E.3. Concluziile referitoare la descrierea și cuantificarea impacturilor precum și motivele pentru care este sau nu necesară continuarea procedurii cu trecerea la etapa studiului de evaluare adecvată……………………………………………………………………….</w:t>
            </w:r>
            <w:r>
              <w:rPr>
                <w:rStyle w:val="IndexLink"/>
                <w:vanish w:val="false"/>
              </w:rPr>
              <w:t>1</w:t>
            </w:r>
          </w:hyperlink>
          <w:r>
            <w:rPr>
              <w:vanish w:val="false"/>
            </w:rPr>
            <w:t>8</w:t>
          </w:r>
        </w:p>
        <w:p>
          <w:pPr>
            <w:pStyle w:val="Normal"/>
            <w:rPr>
              <w:vanish w:val="false"/>
            </w:rPr>
          </w:pPr>
          <w:r>
            <w:rPr>
              <w:vanish w:val="false"/>
            </w:rPr>
          </w:r>
        </w:p>
        <w:p>
          <w:pPr>
            <w:pStyle w:val="Normal"/>
            <w:rPr/>
          </w:pPr>
          <w:r>
            <w:rPr>
              <w:vanish w:val="false"/>
            </w:rPr>
            <w:t>Coordonate Stereo 70 UP IV Hasmas …………………………………………………………….20</w:t>
          </w:r>
        </w:p>
        <w:p>
          <w:pPr>
            <w:pStyle w:val="Normal"/>
            <w:rPr>
              <w:vanish w:val="false"/>
            </w:rPr>
          </w:pPr>
          <w:r>
            <w:rPr>
              <w:vanish w:val="false"/>
            </w:rPr>
          </w:r>
        </w:p>
        <w:p>
          <w:pPr>
            <w:pStyle w:val="Normal"/>
            <w:rPr/>
          </w:pPr>
          <w:r>
            <w:rPr>
              <w:vanish w:val="false"/>
            </w:rPr>
            <w:t>Coordonate Stereo 70 UP V Groseni    …………………………………………………………….23</w:t>
          </w:r>
          <w:r>
            <w:rPr>
              <w:vanish w:val="false"/>
            </w:rPr>
            <w:fldChar w:fldCharType="end"/>
          </w:r>
        </w:p>
      </w:sdtContent>
    </w:sdt>
    <w:p>
      <w:pPr>
        <w:pStyle w:val="Heading1"/>
        <w:widowControl/>
        <w:numPr>
          <w:ilvl w:val="0"/>
          <w:numId w:val="0"/>
        </w:numPr>
        <w:suppressAutoHyphens w:val="true"/>
        <w:ind w:left="0" w:hanging="0"/>
        <w:jc w:val="center"/>
        <w:outlineLvl w:val="0"/>
        <w:rPr/>
      </w:pPr>
      <w:r>
        <w:rPr/>
      </w:r>
      <w:r>
        <w:br w:type="page"/>
      </w:r>
    </w:p>
    <w:p>
      <w:pPr>
        <w:pStyle w:val="Heading1"/>
        <w:numPr>
          <w:ilvl w:val="0"/>
          <w:numId w:val="2"/>
        </w:numPr>
        <w:rPr/>
      </w:pPr>
      <w:r>
        <w:rPr/>
      </w:r>
    </w:p>
    <w:p>
      <w:pPr>
        <w:pStyle w:val="Heading1"/>
        <w:numPr>
          <w:ilvl w:val="0"/>
          <w:numId w:val="2"/>
        </w:numPr>
        <w:rPr/>
      </w:pPr>
      <w:r>
        <w:rPr/>
      </w:r>
    </w:p>
    <w:p>
      <w:pPr>
        <w:pStyle w:val="Heading1"/>
        <w:numPr>
          <w:ilvl w:val="0"/>
          <w:numId w:val="2"/>
        </w:numPr>
        <w:rPr/>
      </w:pPr>
      <w:r>
        <w:rPr/>
      </w:r>
    </w:p>
    <w:p>
      <w:pPr>
        <w:pStyle w:val="Heading1"/>
        <w:numPr>
          <w:ilvl w:val="0"/>
          <w:numId w:val="2"/>
        </w:numPr>
        <w:rPr/>
      </w:pPr>
      <w:r>
        <w:rPr/>
      </w:r>
    </w:p>
    <w:p>
      <w:pPr>
        <w:pStyle w:val="Heading1"/>
        <w:numPr>
          <w:ilvl w:val="0"/>
          <w:numId w:val="2"/>
        </w:numPr>
        <w:rPr/>
      </w:pPr>
      <w:r>
        <w:rPr/>
      </w:r>
    </w:p>
    <w:p>
      <w:pPr>
        <w:pStyle w:val="Heading1"/>
        <w:numPr>
          <w:ilvl w:val="0"/>
          <w:numId w:val="2"/>
        </w:numPr>
        <w:rPr/>
      </w:pPr>
      <w:r>
        <w:rPr/>
      </w:r>
    </w:p>
    <w:p>
      <w:pPr>
        <w:pStyle w:val="Heading1"/>
        <w:numPr>
          <w:ilvl w:val="0"/>
          <w:numId w:val="2"/>
        </w:numPr>
        <w:rPr/>
      </w:pPr>
      <w:bookmarkStart w:id="0" w:name="_Toc171938294"/>
      <w:r>
        <w:rPr/>
        <w:t>Acronime</w:t>
      </w:r>
      <w:bookmarkEnd w:id="0"/>
    </w:p>
    <w:p>
      <w:pPr>
        <w:pStyle w:val="Heading1"/>
        <w:numPr>
          <w:ilvl w:val="0"/>
          <w:numId w:val="2"/>
        </w:numPr>
        <w:rPr/>
      </w:pPr>
      <w:r>
        <w:rPr/>
      </w:r>
    </w:p>
    <w:tbl>
      <w:tblPr>
        <w:tblW w:w="9624" w:type="dxa"/>
        <w:jc w:val="left"/>
        <w:tblInd w:w="0" w:type="dxa"/>
        <w:tblCellMar>
          <w:top w:w="0" w:type="dxa"/>
          <w:left w:w="108" w:type="dxa"/>
          <w:bottom w:w="0" w:type="dxa"/>
          <w:right w:w="108" w:type="dxa"/>
        </w:tblCellMar>
        <w:tblLook w:firstRow="1" w:noVBand="1" w:lastRow="0" w:firstColumn="1" w:lastColumn="0" w:noHBand="0" w:val="04a0"/>
      </w:tblPr>
      <w:tblGrid>
        <w:gridCol w:w="1123"/>
        <w:gridCol w:w="8500"/>
      </w:tblGrid>
      <w:tr>
        <w:trPr>
          <w:trHeight w:val="212" w:hRule="atLeast"/>
        </w:trPr>
        <w:tc>
          <w:tcPr>
            <w:tcW w:w="1123" w:type="dxa"/>
            <w:tcBorders/>
          </w:tcPr>
          <w:p>
            <w:pPr>
              <w:pStyle w:val="Normal"/>
              <w:spacing w:lineRule="auto" w:line="360"/>
              <w:jc w:val="both"/>
              <w:rPr>
                <w:bCs/>
                <w:iCs/>
                <w:lang w:val="ro-RO"/>
              </w:rPr>
            </w:pPr>
            <w:r>
              <w:rPr>
                <w:bCs/>
                <w:iCs/>
                <w:lang w:val="ro-RO"/>
              </w:rPr>
              <w:t>ACPM</w:t>
            </w:r>
          </w:p>
        </w:tc>
        <w:tc>
          <w:tcPr>
            <w:tcW w:w="8500" w:type="dxa"/>
            <w:tcBorders/>
          </w:tcPr>
          <w:p>
            <w:pPr>
              <w:pStyle w:val="Normal"/>
              <w:spacing w:lineRule="auto" w:line="360"/>
              <w:jc w:val="both"/>
              <w:rPr>
                <w:bCs/>
                <w:iCs/>
                <w:lang w:val="ro-RO"/>
              </w:rPr>
            </w:pPr>
            <w:r>
              <w:rPr>
                <w:bCs/>
                <w:iCs/>
                <w:lang w:val="ro-RO"/>
              </w:rPr>
              <w:t>Autoritatea competentă pentru protecția mediului</w:t>
            </w:r>
          </w:p>
        </w:tc>
      </w:tr>
      <w:tr>
        <w:trPr>
          <w:trHeight w:val="285" w:hRule="atLeast"/>
        </w:trPr>
        <w:tc>
          <w:tcPr>
            <w:tcW w:w="1123" w:type="dxa"/>
            <w:tcBorders/>
          </w:tcPr>
          <w:p>
            <w:pPr>
              <w:pStyle w:val="Normal"/>
              <w:spacing w:lineRule="auto" w:line="360"/>
              <w:jc w:val="both"/>
              <w:rPr>
                <w:bCs/>
                <w:iCs/>
                <w:lang w:val="ro-RO"/>
              </w:rPr>
            </w:pPr>
            <w:r>
              <w:rPr>
                <w:bCs/>
                <w:iCs/>
                <w:lang w:val="ro-RO"/>
              </w:rPr>
              <w:t>AS</w:t>
            </w:r>
          </w:p>
        </w:tc>
        <w:tc>
          <w:tcPr>
            <w:tcW w:w="8500" w:type="dxa"/>
            <w:tcBorders/>
          </w:tcPr>
          <w:p>
            <w:pPr>
              <w:pStyle w:val="Normal"/>
              <w:spacing w:lineRule="auto" w:line="360"/>
              <w:jc w:val="both"/>
              <w:rPr>
                <w:bCs/>
                <w:iCs/>
                <w:lang w:val="ro-RO"/>
              </w:rPr>
            </w:pPr>
            <w:r>
              <w:rPr>
                <w:bCs/>
                <w:iCs/>
                <w:lang w:val="ro-RO"/>
              </w:rPr>
              <w:t>Amenajament silvic</w:t>
            </w:r>
          </w:p>
        </w:tc>
      </w:tr>
      <w:tr>
        <w:trPr>
          <w:trHeight w:val="285" w:hRule="atLeast"/>
        </w:trPr>
        <w:tc>
          <w:tcPr>
            <w:tcW w:w="1123" w:type="dxa"/>
            <w:tcBorders/>
          </w:tcPr>
          <w:p>
            <w:pPr>
              <w:pStyle w:val="Normal"/>
              <w:spacing w:lineRule="auto" w:line="360"/>
              <w:jc w:val="both"/>
              <w:rPr>
                <w:bCs/>
                <w:iCs/>
                <w:lang w:val="ro-RO"/>
              </w:rPr>
            </w:pPr>
            <w:r>
              <w:rPr>
                <w:bCs/>
                <w:iCs/>
                <w:lang w:val="ro-RO"/>
              </w:rPr>
              <w:t>ANANP</w:t>
            </w:r>
          </w:p>
        </w:tc>
        <w:tc>
          <w:tcPr>
            <w:tcW w:w="8500" w:type="dxa"/>
            <w:tcBorders/>
          </w:tcPr>
          <w:p>
            <w:pPr>
              <w:pStyle w:val="Normal"/>
              <w:spacing w:lineRule="auto" w:line="360"/>
              <w:jc w:val="both"/>
              <w:rPr>
                <w:bCs/>
                <w:iCs/>
                <w:lang w:val="ro-RO"/>
              </w:rPr>
            </w:pPr>
            <w:r>
              <w:rPr>
                <w:bCs/>
                <w:iCs/>
                <w:lang w:val="ro-RO"/>
              </w:rPr>
              <w:t>Agenția Națională pentru Arii Naturale Protejate</w:t>
            </w:r>
          </w:p>
        </w:tc>
      </w:tr>
      <w:tr>
        <w:trPr>
          <w:trHeight w:val="270" w:hRule="atLeast"/>
        </w:trPr>
        <w:tc>
          <w:tcPr>
            <w:tcW w:w="1123" w:type="dxa"/>
            <w:tcBorders/>
          </w:tcPr>
          <w:p>
            <w:pPr>
              <w:pStyle w:val="Normal"/>
              <w:spacing w:lineRule="auto" w:line="360"/>
              <w:jc w:val="both"/>
              <w:rPr>
                <w:bCs/>
                <w:iCs/>
                <w:lang w:val="ro-RO"/>
              </w:rPr>
            </w:pPr>
            <w:r>
              <w:rPr>
                <w:bCs/>
                <w:iCs/>
                <w:lang w:val="ro-RO"/>
              </w:rPr>
              <w:t>ANPIC</w:t>
            </w:r>
          </w:p>
        </w:tc>
        <w:tc>
          <w:tcPr>
            <w:tcW w:w="8500" w:type="dxa"/>
            <w:tcBorders/>
          </w:tcPr>
          <w:p>
            <w:pPr>
              <w:pStyle w:val="Normal"/>
              <w:spacing w:lineRule="auto" w:line="360"/>
              <w:jc w:val="both"/>
              <w:rPr>
                <w:bCs/>
                <w:iCs/>
                <w:lang w:val="ro-RO"/>
              </w:rPr>
            </w:pPr>
            <w:r>
              <w:rPr>
                <w:bCs/>
                <w:iCs/>
                <w:lang w:val="ro-RO"/>
              </w:rPr>
              <w:t>Arie naturală protejată de interes comunitar</w:t>
            </w:r>
          </w:p>
        </w:tc>
      </w:tr>
      <w:tr>
        <w:trPr>
          <w:trHeight w:val="270" w:hRule="atLeast"/>
        </w:trPr>
        <w:tc>
          <w:tcPr>
            <w:tcW w:w="1123" w:type="dxa"/>
            <w:tcBorders/>
          </w:tcPr>
          <w:p>
            <w:pPr>
              <w:pStyle w:val="Normal"/>
              <w:spacing w:lineRule="auto" w:line="360"/>
              <w:jc w:val="both"/>
              <w:rPr>
                <w:bCs/>
                <w:iCs/>
                <w:lang w:val="ro-RO"/>
              </w:rPr>
            </w:pPr>
            <w:r>
              <w:rPr>
                <w:bCs/>
                <w:iCs/>
                <w:lang w:val="ro-RO"/>
              </w:rPr>
              <w:t>DS</w:t>
            </w:r>
          </w:p>
        </w:tc>
        <w:tc>
          <w:tcPr>
            <w:tcW w:w="8500" w:type="dxa"/>
            <w:tcBorders/>
          </w:tcPr>
          <w:p>
            <w:pPr>
              <w:pStyle w:val="Normal"/>
              <w:spacing w:lineRule="auto" w:line="360"/>
              <w:jc w:val="both"/>
              <w:rPr>
                <w:bCs/>
                <w:iCs/>
                <w:lang w:val="ro-RO"/>
              </w:rPr>
            </w:pPr>
            <w:r>
              <w:rPr>
                <w:bCs/>
                <w:iCs/>
                <w:lang w:val="ro-RO"/>
              </w:rPr>
              <w:t>Directie Silvică</w:t>
            </w:r>
          </w:p>
        </w:tc>
      </w:tr>
      <w:tr>
        <w:trPr>
          <w:trHeight w:val="285" w:hRule="atLeast"/>
        </w:trPr>
        <w:tc>
          <w:tcPr>
            <w:tcW w:w="1123" w:type="dxa"/>
            <w:tcBorders/>
          </w:tcPr>
          <w:p>
            <w:pPr>
              <w:pStyle w:val="Normal"/>
              <w:spacing w:lineRule="auto" w:line="360"/>
              <w:jc w:val="both"/>
              <w:rPr>
                <w:bCs/>
                <w:iCs/>
                <w:lang w:val="ro-RO"/>
              </w:rPr>
            </w:pPr>
            <w:r>
              <w:rPr>
                <w:bCs/>
                <w:iCs/>
                <w:lang w:val="ro-RO"/>
              </w:rPr>
              <w:t>EA</w:t>
            </w:r>
          </w:p>
        </w:tc>
        <w:tc>
          <w:tcPr>
            <w:tcW w:w="8500" w:type="dxa"/>
            <w:tcBorders/>
          </w:tcPr>
          <w:p>
            <w:pPr>
              <w:pStyle w:val="Normal"/>
              <w:spacing w:lineRule="auto" w:line="360"/>
              <w:jc w:val="both"/>
              <w:rPr>
                <w:bCs/>
                <w:iCs/>
                <w:lang w:val="ro-RO"/>
              </w:rPr>
            </w:pPr>
            <w:r>
              <w:rPr>
                <w:bCs/>
                <w:iCs/>
                <w:lang w:val="ro-RO"/>
              </w:rPr>
              <w:t>Evaluare adecvată</w:t>
            </w:r>
          </w:p>
        </w:tc>
      </w:tr>
      <w:tr>
        <w:trPr>
          <w:trHeight w:val="270" w:hRule="atLeast"/>
        </w:trPr>
        <w:tc>
          <w:tcPr>
            <w:tcW w:w="1123" w:type="dxa"/>
            <w:tcBorders/>
          </w:tcPr>
          <w:p>
            <w:pPr>
              <w:pStyle w:val="Normal"/>
              <w:spacing w:lineRule="auto" w:line="360"/>
              <w:jc w:val="both"/>
              <w:rPr>
                <w:bCs/>
                <w:iCs/>
                <w:lang w:val="ro-RO"/>
              </w:rPr>
            </w:pPr>
            <w:r>
              <w:rPr>
                <w:bCs/>
                <w:iCs/>
                <w:lang w:val="ro-RO"/>
              </w:rPr>
              <w:t>HG</w:t>
            </w:r>
          </w:p>
        </w:tc>
        <w:tc>
          <w:tcPr>
            <w:tcW w:w="8500" w:type="dxa"/>
            <w:tcBorders/>
          </w:tcPr>
          <w:p>
            <w:pPr>
              <w:pStyle w:val="Normal"/>
              <w:spacing w:lineRule="auto" w:line="360"/>
              <w:jc w:val="both"/>
              <w:rPr>
                <w:bCs/>
                <w:iCs/>
                <w:lang w:val="ro-RO"/>
              </w:rPr>
            </w:pPr>
            <w:r>
              <w:rPr>
                <w:bCs/>
                <w:iCs/>
                <w:lang w:val="ro-RO"/>
              </w:rPr>
              <w:t>Hotărârea guvernului</w:t>
            </w:r>
          </w:p>
        </w:tc>
      </w:tr>
      <w:tr>
        <w:trPr>
          <w:trHeight w:val="285" w:hRule="atLeast"/>
        </w:trPr>
        <w:tc>
          <w:tcPr>
            <w:tcW w:w="1123" w:type="dxa"/>
            <w:tcBorders/>
          </w:tcPr>
          <w:p>
            <w:pPr>
              <w:pStyle w:val="Normal"/>
              <w:spacing w:lineRule="auto" w:line="360"/>
              <w:jc w:val="both"/>
              <w:rPr>
                <w:bCs/>
                <w:iCs/>
                <w:lang w:val="ro-RO"/>
              </w:rPr>
            </w:pPr>
            <w:r>
              <w:rPr>
                <w:bCs/>
                <w:iCs/>
                <w:lang w:val="ro-RO"/>
              </w:rPr>
              <w:t>OUG</w:t>
            </w:r>
          </w:p>
        </w:tc>
        <w:tc>
          <w:tcPr>
            <w:tcW w:w="8500" w:type="dxa"/>
            <w:tcBorders/>
          </w:tcPr>
          <w:p>
            <w:pPr>
              <w:pStyle w:val="Normal"/>
              <w:spacing w:lineRule="auto" w:line="360"/>
              <w:jc w:val="both"/>
              <w:rPr>
                <w:bCs/>
                <w:iCs/>
                <w:lang w:val="ro-RO"/>
              </w:rPr>
            </w:pPr>
            <w:r>
              <w:rPr>
                <w:bCs/>
                <w:iCs/>
                <w:lang w:val="ro-RO"/>
              </w:rPr>
              <w:t>Ordonanța de urgență a guvernului</w:t>
            </w:r>
          </w:p>
        </w:tc>
      </w:tr>
      <w:tr>
        <w:trPr>
          <w:trHeight w:val="285" w:hRule="atLeast"/>
        </w:trPr>
        <w:tc>
          <w:tcPr>
            <w:tcW w:w="1123" w:type="dxa"/>
            <w:tcBorders/>
          </w:tcPr>
          <w:p>
            <w:pPr>
              <w:pStyle w:val="Normal"/>
              <w:spacing w:lineRule="auto" w:line="360"/>
              <w:jc w:val="both"/>
              <w:rPr>
                <w:bCs/>
                <w:iCs/>
                <w:lang w:val="ro-RO"/>
              </w:rPr>
            </w:pPr>
            <w:r>
              <w:rPr>
                <w:bCs/>
                <w:iCs/>
                <w:lang w:val="ro-RO"/>
              </w:rPr>
              <w:t>OCS</w:t>
            </w:r>
          </w:p>
        </w:tc>
        <w:tc>
          <w:tcPr>
            <w:tcW w:w="8500" w:type="dxa"/>
            <w:tcBorders/>
          </w:tcPr>
          <w:p>
            <w:pPr>
              <w:pStyle w:val="Normal"/>
              <w:spacing w:lineRule="auto" w:line="360"/>
              <w:jc w:val="both"/>
              <w:rPr>
                <w:bCs/>
                <w:iCs/>
                <w:lang w:val="ro-RO"/>
              </w:rPr>
            </w:pPr>
            <w:r>
              <w:rPr>
                <w:bCs/>
                <w:iCs/>
                <w:lang w:val="ro-RO"/>
              </w:rPr>
              <w:t>Obiective de conservare specifice</w:t>
            </w:r>
          </w:p>
        </w:tc>
      </w:tr>
      <w:tr>
        <w:trPr>
          <w:trHeight w:val="285" w:hRule="atLeast"/>
        </w:trPr>
        <w:tc>
          <w:tcPr>
            <w:tcW w:w="1123" w:type="dxa"/>
            <w:tcBorders/>
          </w:tcPr>
          <w:p>
            <w:pPr>
              <w:pStyle w:val="Normal"/>
              <w:spacing w:lineRule="auto" w:line="360"/>
              <w:jc w:val="both"/>
              <w:rPr>
                <w:bCs/>
                <w:iCs/>
                <w:lang w:val="ro-RO"/>
              </w:rPr>
            </w:pPr>
            <w:r>
              <w:rPr>
                <w:bCs/>
                <w:iCs/>
                <w:lang w:val="ro-RO"/>
              </w:rPr>
              <w:t>OS</w:t>
            </w:r>
          </w:p>
        </w:tc>
        <w:tc>
          <w:tcPr>
            <w:tcW w:w="8500" w:type="dxa"/>
            <w:tcBorders/>
          </w:tcPr>
          <w:p>
            <w:pPr>
              <w:pStyle w:val="Normal"/>
              <w:spacing w:lineRule="auto" w:line="360"/>
              <w:jc w:val="both"/>
              <w:rPr>
                <w:bCs/>
                <w:iCs/>
                <w:lang w:val="ro-RO"/>
              </w:rPr>
            </w:pPr>
            <w:r>
              <w:rPr>
                <w:bCs/>
                <w:iCs/>
                <w:lang w:val="ro-RO"/>
              </w:rPr>
              <w:t>Ocol silvic</w:t>
            </w:r>
          </w:p>
        </w:tc>
      </w:tr>
      <w:tr>
        <w:trPr>
          <w:trHeight w:val="285" w:hRule="atLeast"/>
        </w:trPr>
        <w:tc>
          <w:tcPr>
            <w:tcW w:w="1123" w:type="dxa"/>
            <w:tcBorders/>
          </w:tcPr>
          <w:p>
            <w:pPr>
              <w:pStyle w:val="Normal"/>
              <w:spacing w:lineRule="auto" w:line="360"/>
              <w:jc w:val="both"/>
              <w:rPr>
                <w:bCs/>
                <w:iCs/>
                <w:lang w:val="ro-RO"/>
              </w:rPr>
            </w:pPr>
            <w:r>
              <w:rPr>
                <w:bCs/>
                <w:iCs/>
                <w:lang w:val="ro-RO"/>
              </w:rPr>
              <w:t>OMMAP</w:t>
            </w:r>
          </w:p>
        </w:tc>
        <w:tc>
          <w:tcPr>
            <w:tcW w:w="8500" w:type="dxa"/>
            <w:tcBorders/>
          </w:tcPr>
          <w:p>
            <w:pPr>
              <w:pStyle w:val="Normal"/>
              <w:spacing w:lineRule="auto" w:line="360"/>
              <w:jc w:val="both"/>
              <w:rPr>
                <w:bCs/>
                <w:iCs/>
                <w:lang w:val="ro-RO"/>
              </w:rPr>
            </w:pPr>
            <w:r>
              <w:rPr>
                <w:bCs/>
                <w:iCs/>
                <w:lang w:val="ro-RO"/>
              </w:rPr>
              <w:t>Ordinul Ministrului Mediului, Apelor și Pădurilor</w:t>
            </w:r>
          </w:p>
        </w:tc>
      </w:tr>
      <w:tr>
        <w:trPr>
          <w:trHeight w:val="285" w:hRule="atLeast"/>
        </w:trPr>
        <w:tc>
          <w:tcPr>
            <w:tcW w:w="1123" w:type="dxa"/>
            <w:tcBorders/>
          </w:tcPr>
          <w:p>
            <w:pPr>
              <w:pStyle w:val="Normal"/>
              <w:spacing w:lineRule="auto" w:line="360"/>
              <w:jc w:val="both"/>
              <w:rPr>
                <w:bCs/>
                <w:iCs/>
                <w:lang w:val="ro-RO"/>
              </w:rPr>
            </w:pPr>
            <w:r>
              <w:rPr>
                <w:bCs/>
                <w:iCs/>
                <w:lang w:val="ro-RO"/>
              </w:rPr>
              <w:t>PP</w:t>
            </w:r>
          </w:p>
          <w:p>
            <w:pPr>
              <w:pStyle w:val="Normal"/>
              <w:spacing w:lineRule="auto" w:line="360"/>
              <w:jc w:val="both"/>
              <w:rPr>
                <w:bCs/>
                <w:iCs/>
                <w:lang w:val="ro-RO"/>
              </w:rPr>
            </w:pPr>
            <w:r>
              <w:rPr>
                <w:bCs/>
                <w:iCs/>
                <w:lang w:val="ro-RO"/>
              </w:rPr>
              <w:t>PPS</w:t>
            </w:r>
          </w:p>
        </w:tc>
        <w:tc>
          <w:tcPr>
            <w:tcW w:w="8500" w:type="dxa"/>
            <w:tcBorders/>
          </w:tcPr>
          <w:p>
            <w:pPr>
              <w:pStyle w:val="Normal"/>
              <w:spacing w:lineRule="auto" w:line="360"/>
              <w:jc w:val="both"/>
              <w:rPr>
                <w:bCs/>
                <w:iCs/>
                <w:lang w:val="ro-RO"/>
              </w:rPr>
            </w:pPr>
            <w:r>
              <w:rPr>
                <w:bCs/>
                <w:iCs/>
                <w:lang w:val="ro-RO"/>
              </w:rPr>
              <w:t>Plan/proiect</w:t>
            </w:r>
          </w:p>
          <w:p>
            <w:pPr>
              <w:pStyle w:val="Normal"/>
              <w:spacing w:lineRule="auto" w:line="360"/>
              <w:jc w:val="both"/>
              <w:rPr>
                <w:bCs/>
                <w:iCs/>
                <w:lang w:val="ro-RO"/>
              </w:rPr>
            </w:pPr>
            <w:r>
              <w:rPr>
                <w:bCs/>
                <w:iCs/>
                <w:lang w:val="ro-RO"/>
              </w:rPr>
              <w:t>Plan/Program/Strategie</w:t>
            </w:r>
          </w:p>
        </w:tc>
      </w:tr>
      <w:tr>
        <w:trPr>
          <w:trHeight w:val="285" w:hRule="atLeast"/>
        </w:trPr>
        <w:tc>
          <w:tcPr>
            <w:tcW w:w="1123" w:type="dxa"/>
            <w:tcBorders/>
          </w:tcPr>
          <w:p>
            <w:pPr>
              <w:pStyle w:val="Normal"/>
              <w:spacing w:lineRule="auto" w:line="360"/>
              <w:jc w:val="both"/>
              <w:rPr>
                <w:bCs/>
                <w:iCs/>
                <w:lang w:val="ro-RO"/>
              </w:rPr>
            </w:pPr>
            <w:r>
              <w:rPr>
                <w:bCs/>
                <w:iCs/>
                <w:lang w:val="ro-RO"/>
              </w:rPr>
              <w:t>PM</w:t>
            </w:r>
          </w:p>
        </w:tc>
        <w:tc>
          <w:tcPr>
            <w:tcW w:w="8500" w:type="dxa"/>
            <w:tcBorders/>
          </w:tcPr>
          <w:p>
            <w:pPr>
              <w:pStyle w:val="Normal"/>
              <w:spacing w:lineRule="auto" w:line="360"/>
              <w:jc w:val="both"/>
              <w:rPr>
                <w:bCs/>
                <w:iCs/>
                <w:lang w:val="ro-RO"/>
              </w:rPr>
            </w:pPr>
            <w:r>
              <w:rPr>
                <w:bCs/>
                <w:iCs/>
                <w:lang w:val="ro-RO"/>
              </w:rPr>
              <w:t>Plan de management</w:t>
            </w:r>
          </w:p>
        </w:tc>
      </w:tr>
      <w:tr>
        <w:trPr>
          <w:trHeight w:val="285" w:hRule="atLeast"/>
        </w:trPr>
        <w:tc>
          <w:tcPr>
            <w:tcW w:w="1123" w:type="dxa"/>
            <w:tcBorders/>
          </w:tcPr>
          <w:p>
            <w:pPr>
              <w:pStyle w:val="Normal"/>
              <w:spacing w:lineRule="auto" w:line="360"/>
              <w:jc w:val="both"/>
              <w:rPr>
                <w:bCs/>
                <w:iCs/>
                <w:lang w:val="ro-RO"/>
              </w:rPr>
            </w:pPr>
            <w:r>
              <w:rPr>
                <w:bCs/>
                <w:iCs/>
                <w:lang w:val="ro-RO"/>
              </w:rPr>
              <w:t>RNP</w:t>
            </w:r>
          </w:p>
        </w:tc>
        <w:tc>
          <w:tcPr>
            <w:tcW w:w="8500" w:type="dxa"/>
            <w:tcBorders/>
          </w:tcPr>
          <w:p>
            <w:pPr>
              <w:pStyle w:val="Normal"/>
              <w:spacing w:lineRule="auto" w:line="360"/>
              <w:jc w:val="both"/>
              <w:rPr/>
            </w:pPr>
            <w:r>
              <w:rPr>
                <w:bCs/>
                <w:iCs/>
                <w:lang w:val="ro-RO"/>
              </w:rPr>
              <w:t>Regia Națională a Pădurilor</w:t>
            </w:r>
          </w:p>
        </w:tc>
      </w:tr>
      <w:tr>
        <w:trPr>
          <w:trHeight w:val="285" w:hRule="atLeast"/>
        </w:trPr>
        <w:tc>
          <w:tcPr>
            <w:tcW w:w="1123" w:type="dxa"/>
            <w:tcBorders/>
          </w:tcPr>
          <w:p>
            <w:pPr>
              <w:pStyle w:val="Normal"/>
              <w:spacing w:lineRule="auto" w:line="360"/>
              <w:jc w:val="both"/>
              <w:rPr>
                <w:bCs/>
                <w:iCs/>
                <w:lang w:val="ro-RO"/>
              </w:rPr>
            </w:pPr>
            <w:r>
              <w:rPr>
                <w:bCs/>
                <w:iCs/>
                <w:lang w:val="ro-RO"/>
              </w:rPr>
              <w:t>UA</w:t>
            </w:r>
          </w:p>
        </w:tc>
        <w:tc>
          <w:tcPr>
            <w:tcW w:w="8500" w:type="dxa"/>
            <w:tcBorders/>
          </w:tcPr>
          <w:p>
            <w:pPr>
              <w:pStyle w:val="Normal"/>
              <w:spacing w:lineRule="auto" w:line="360"/>
              <w:jc w:val="both"/>
              <w:rPr>
                <w:bCs/>
                <w:iCs/>
                <w:lang w:val="ro-RO"/>
              </w:rPr>
            </w:pPr>
            <w:r>
              <w:rPr>
                <w:bCs/>
                <w:iCs/>
                <w:lang w:val="ro-RO"/>
              </w:rPr>
              <w:t>Unitate amenajistică</w:t>
            </w:r>
          </w:p>
        </w:tc>
      </w:tr>
      <w:tr>
        <w:trPr>
          <w:trHeight w:val="270" w:hRule="atLeast"/>
        </w:trPr>
        <w:tc>
          <w:tcPr>
            <w:tcW w:w="1123" w:type="dxa"/>
            <w:tcBorders/>
          </w:tcPr>
          <w:p>
            <w:pPr>
              <w:pStyle w:val="Normal"/>
              <w:spacing w:lineRule="auto" w:line="360"/>
              <w:jc w:val="both"/>
              <w:rPr>
                <w:bCs/>
                <w:iCs/>
                <w:lang w:val="ro-RO"/>
              </w:rPr>
            </w:pPr>
            <w:r>
              <w:rPr>
                <w:bCs/>
                <w:iCs/>
                <w:lang w:val="ro-RO"/>
              </w:rPr>
              <w:t>UAT</w:t>
            </w:r>
          </w:p>
        </w:tc>
        <w:tc>
          <w:tcPr>
            <w:tcW w:w="8500" w:type="dxa"/>
            <w:tcBorders/>
          </w:tcPr>
          <w:p>
            <w:pPr>
              <w:pStyle w:val="Normal"/>
              <w:spacing w:lineRule="auto" w:line="360"/>
              <w:jc w:val="both"/>
              <w:rPr>
                <w:bCs/>
                <w:iCs/>
                <w:lang w:val="ro-RO"/>
              </w:rPr>
            </w:pPr>
            <w:r>
              <w:rPr>
                <w:bCs/>
                <w:iCs/>
                <w:lang w:val="ro-RO"/>
              </w:rPr>
              <w:t>Unitate teritorială administrativă</w:t>
            </w:r>
          </w:p>
        </w:tc>
      </w:tr>
      <w:tr>
        <w:trPr>
          <w:trHeight w:val="270" w:hRule="atLeast"/>
        </w:trPr>
        <w:tc>
          <w:tcPr>
            <w:tcW w:w="1123" w:type="dxa"/>
            <w:tcBorders/>
          </w:tcPr>
          <w:p>
            <w:pPr>
              <w:pStyle w:val="Normal"/>
              <w:spacing w:lineRule="auto" w:line="360"/>
              <w:jc w:val="both"/>
              <w:rPr>
                <w:bCs/>
                <w:iCs/>
                <w:lang w:val="ro-RO"/>
              </w:rPr>
            </w:pPr>
            <w:r>
              <w:rPr>
                <w:bCs/>
                <w:iCs/>
                <w:lang w:val="ro-RO"/>
              </w:rPr>
              <w:t>UP</w:t>
            </w:r>
          </w:p>
        </w:tc>
        <w:tc>
          <w:tcPr>
            <w:tcW w:w="8500" w:type="dxa"/>
            <w:tcBorders/>
          </w:tcPr>
          <w:p>
            <w:pPr>
              <w:pStyle w:val="Normal"/>
              <w:spacing w:lineRule="auto" w:line="360"/>
              <w:jc w:val="both"/>
              <w:rPr>
                <w:bCs/>
                <w:iCs/>
                <w:lang w:val="ro-RO"/>
              </w:rPr>
            </w:pPr>
            <w:r>
              <w:rPr>
                <w:bCs/>
                <w:iCs/>
                <w:lang w:val="ro-RO"/>
              </w:rPr>
              <w:t>Unitate de producție/protecție</w:t>
            </w:r>
          </w:p>
        </w:tc>
      </w:tr>
    </w:tbl>
    <w:p>
      <w:pPr>
        <w:pStyle w:val="Heading1"/>
        <w:numPr>
          <w:ilvl w:val="0"/>
          <w:numId w:val="2"/>
        </w:numPr>
        <w:rPr/>
      </w:pPr>
      <w:r>
        <w:rPr/>
      </w:r>
    </w:p>
    <w:p>
      <w:pPr>
        <w:pStyle w:val="Heading1"/>
        <w:numPr>
          <w:ilvl w:val="0"/>
          <w:numId w:val="2"/>
        </w:numPr>
        <w:rPr/>
      </w:pPr>
      <w:r>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Heading1"/>
        <w:numPr>
          <w:ilvl w:val="0"/>
          <w:numId w:val="2"/>
        </w:numPr>
        <w:rPr/>
      </w:pPr>
      <w:bookmarkStart w:id="1" w:name="_Hlk142932944"/>
      <w:bookmarkStart w:id="2" w:name="_Toc171938295"/>
      <w:r>
        <w:rPr/>
        <w:t>Necesitatea și oportunitatea elaborării studiului</w:t>
      </w:r>
      <w:bookmarkEnd w:id="2"/>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spacing w:lineRule="auto" w:line="360"/>
        <w:ind w:firstLine="720"/>
        <w:jc w:val="both"/>
        <w:rPr>
          <w:bCs/>
        </w:rPr>
      </w:pPr>
      <w:r>
        <w:rPr>
          <w:bCs/>
        </w:rPr>
        <w:t xml:space="preserve">Studiul s-a elaborat </w:t>
      </w:r>
      <w:r>
        <w:rPr>
          <w:lang w:val="ro-RO"/>
        </w:rPr>
        <w:t xml:space="preserve">pentru fondul forestier proprietate publică a statului administrat de RNP - Romsilva prin Ocolul Silvic Beliu situat în limitele teritoriale ale </w:t>
      </w:r>
      <w:r>
        <w:rPr/>
        <w:t xml:space="preserve">U.P. </w:t>
      </w:r>
      <w:r>
        <w:rPr>
          <w:lang w:eastAsia="en-US"/>
        </w:rPr>
        <w:t>IV Ha</w:t>
      </w:r>
      <w:r>
        <w:rPr>
          <w:lang w:val="ro-RO" w:eastAsia="en-US"/>
        </w:rPr>
        <w:t>șmaș</w:t>
      </w:r>
      <w:r>
        <w:rPr>
          <w:lang w:eastAsia="en-US"/>
        </w:rPr>
        <w:t xml:space="preserve">, </w:t>
      </w:r>
      <w:r>
        <w:rPr/>
        <w:t xml:space="preserve">U.P. V Groșeni, </w:t>
      </w:r>
      <w:r>
        <w:rPr>
          <w:bCs/>
        </w:rPr>
        <w:t xml:space="preserve">, în baza solicitării </w:t>
      </w:r>
      <w:r>
        <w:rPr>
          <w:rFonts w:eastAsia="Times New Roman" w:cs="Times New Roman"/>
          <w:bCs/>
          <w:sz w:val="24"/>
          <w:lang w:val="ro-RO" w:bidi="ar-SA"/>
        </w:rPr>
        <w:t>APM Arad</w:t>
      </w:r>
      <w:r>
        <w:rPr>
          <w:bCs/>
        </w:rPr>
        <w:t xml:space="preserve"> nr. </w:t>
      </w:r>
      <w:r>
        <w:rPr>
          <w:rFonts w:eastAsia="Times New Roman" w:cs="Times New Roman"/>
          <w:bCs/>
          <w:sz w:val="24"/>
          <w:lang w:val="ro-RO" w:bidi="ar-SA"/>
        </w:rPr>
        <w:t>9910 / 06.06.2024.</w:t>
      </w:r>
      <w:r>
        <w:rPr>
          <w:bCs/>
        </w:rPr>
        <w:t xml:space="preserve"> Acesta este în concordanță cu prevederile </w:t>
      </w:r>
      <w:r>
        <w:rPr>
          <w:i/>
          <w:iCs/>
        </w:rPr>
        <w:t>Ordinului ministrului mediului, apelor și pădurilor nr. 1.682/2023 pentru aprobarea Ghidului metodologic privind evaluarea adecvată a efectelor potențiale ale planurilor sau proiectelor asupra ariilor naturale protejate de interes comunitar</w:t>
      </w:r>
      <w:r>
        <w:rPr/>
        <w:t xml:space="preserve">, respectiv </w:t>
      </w:r>
      <w:r>
        <w:rPr>
          <w:i/>
          <w:iCs/>
        </w:rPr>
        <w:t>a Ordinului ministrului mediului, apelor și pădurilor nr. 1.679/2023 pentru aprobarea Ghidului metodologic specific privind evaluarea adecvată a efectelor potențiale ale planurilor/proiectelor din domeniile de interes</w:t>
      </w:r>
      <w:r>
        <w:rPr/>
        <w:t>. Memoriul de prezentare respectă conținutul cadru din Anexa 3A și metodologia de elaborare a acestuia prevăzută în Anexa nr. 6C la OMMAP 1682/2023. De asemena, s-a ținut cont și de prevederile Ghidului specific (Capitolul 6 – DOMENIUL PLANURI/PROIECTE DE AMENAJARE).</w:t>
      </w:r>
      <w:bookmarkEnd w:id="1"/>
    </w:p>
    <w:p>
      <w:pPr>
        <w:pStyle w:val="Normal"/>
        <w:rPr>
          <w:bCs/>
          <w:color w:val="FF0000"/>
          <w:lang w:val="ro-RO"/>
        </w:rPr>
      </w:pPr>
      <w:r>
        <w:rPr>
          <w:bCs/>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Normal"/>
        <w:rPr>
          <w:color w:val="FF0000"/>
          <w:lang w:val="ro-RO"/>
        </w:rPr>
      </w:pPr>
      <w:r>
        <w:rPr>
          <w:color w:val="FF0000"/>
          <w:lang w:val="ro-RO"/>
        </w:rPr>
      </w:r>
    </w:p>
    <w:p>
      <w:pPr>
        <w:pStyle w:val="Heading1"/>
        <w:numPr>
          <w:ilvl w:val="0"/>
          <w:numId w:val="2"/>
        </w:numPr>
        <w:rPr/>
      </w:pPr>
      <w:bookmarkStart w:id="3" w:name="_Toc171938296"/>
      <w:r>
        <w:rPr/>
        <w:t>A. Descrierea succintă a Amenajamentului</w:t>
      </w:r>
      <w:bookmarkEnd w:id="3"/>
    </w:p>
    <w:p>
      <w:pPr>
        <w:pStyle w:val="Heading1"/>
        <w:numPr>
          <w:ilvl w:val="0"/>
          <w:numId w:val="2"/>
        </w:numPr>
        <w:rPr>
          <w:sz w:val="20"/>
          <w:szCs w:val="20"/>
        </w:rPr>
      </w:pPr>
      <w:r>
        <w:rPr>
          <w:sz w:val="20"/>
          <w:szCs w:val="20"/>
        </w:rPr>
      </w:r>
    </w:p>
    <w:p>
      <w:pPr>
        <w:pStyle w:val="Heading1"/>
        <w:numPr>
          <w:ilvl w:val="0"/>
          <w:numId w:val="2"/>
        </w:numPr>
        <w:rPr/>
      </w:pPr>
      <w:r>
        <w:rPr/>
        <w:t xml:space="preserve"> </w:t>
      </w:r>
      <w:bookmarkStart w:id="4" w:name="_Toc171938297"/>
      <w:r>
        <w:rPr/>
        <w:t xml:space="preserve">U.P. </w:t>
      </w:r>
      <w:r>
        <w:rPr>
          <w:lang w:eastAsia="en-US"/>
        </w:rPr>
        <w:t>IV HĂȘMAȘ</w:t>
      </w:r>
      <w:r>
        <w:rPr>
          <w:lang w:val="ro-RO" w:eastAsia="en-US"/>
        </w:rPr>
        <w:t xml:space="preserve"> și </w:t>
      </w:r>
      <w:r>
        <w:rPr/>
        <w:t xml:space="preserve">U.P. V </w:t>
      </w:r>
      <w:r>
        <w:rPr>
          <w:lang w:val="ro-RO"/>
        </w:rPr>
        <w:t>GROȘENI -</w:t>
      </w:r>
      <w:r>
        <w:rPr/>
        <w:t xml:space="preserve"> distanța față de Aria Naturală Protejată de Interes Comunitar (ANPIC)</w:t>
      </w:r>
      <w:bookmarkEnd w:id="4"/>
    </w:p>
    <w:p>
      <w:pPr>
        <w:pStyle w:val="Normal"/>
        <w:rPr>
          <w:color w:val="FF0000"/>
          <w:sz w:val="20"/>
          <w:szCs w:val="20"/>
          <w:lang w:val="ro-RO"/>
        </w:rPr>
      </w:pPr>
      <w:r>
        <w:rPr>
          <w:color w:val="FF0000"/>
          <w:sz w:val="20"/>
          <w:szCs w:val="20"/>
          <w:lang w:val="ro-RO"/>
        </w:rPr>
      </w:r>
    </w:p>
    <w:p>
      <w:pPr>
        <w:pStyle w:val="Normal"/>
        <w:spacing w:lineRule="auto" w:line="360"/>
        <w:ind w:firstLine="567"/>
        <w:jc w:val="both"/>
        <w:rPr/>
      </w:pPr>
      <w:r>
        <w:rPr/>
        <w:t xml:space="preserve">Amenajamentele U.P. </w:t>
      </w:r>
      <w:r>
        <w:rPr>
          <w:lang w:eastAsia="en-US"/>
        </w:rPr>
        <w:t>IV Hașmaș</w:t>
      </w:r>
      <w:r>
        <w:rPr>
          <w:lang w:val="ro-RO" w:eastAsia="en-US"/>
        </w:rPr>
        <w:t xml:space="preserve"> și</w:t>
      </w:r>
      <w:r>
        <w:rPr>
          <w:lang w:eastAsia="en-US"/>
        </w:rPr>
        <w:t xml:space="preserve"> </w:t>
      </w:r>
      <w:r>
        <w:rPr/>
        <w:t>U.P. V Groșeni s-au realizat în concordanță cu prevederile codului silvic (Legea</w:t>
      </w:r>
      <w:r>
        <w:rPr>
          <w:spacing w:val="1"/>
        </w:rPr>
        <w:t xml:space="preserve"> </w:t>
      </w:r>
      <w:r>
        <w:rPr/>
        <w:t>46/2008, actualiză), care la art. 19, alin. 1 prevede că „</w:t>
      </w:r>
      <w:r>
        <w:rPr>
          <w:i/>
        </w:rPr>
        <w:t>Modul de gestionare a fondului forestier</w:t>
      </w:r>
      <w:r>
        <w:rPr>
          <w:i/>
          <w:spacing w:val="1"/>
        </w:rPr>
        <w:t xml:space="preserve"> </w:t>
      </w:r>
      <w:r>
        <w:rPr>
          <w:i/>
        </w:rPr>
        <w:t>naţional</w:t>
      </w:r>
      <w:r>
        <w:rPr>
          <w:i/>
          <w:spacing w:val="1"/>
        </w:rPr>
        <w:t xml:space="preserve"> </w:t>
      </w:r>
      <w:r>
        <w:rPr>
          <w:i/>
        </w:rPr>
        <w:t>se</w:t>
      </w:r>
      <w:r>
        <w:rPr>
          <w:i/>
          <w:spacing w:val="1"/>
        </w:rPr>
        <w:t xml:space="preserve"> </w:t>
      </w:r>
      <w:r>
        <w:rPr>
          <w:i/>
        </w:rPr>
        <w:t>reglementează</w:t>
      </w:r>
      <w:r>
        <w:rPr>
          <w:i/>
          <w:spacing w:val="1"/>
        </w:rPr>
        <w:t xml:space="preserve"> </w:t>
      </w:r>
      <w:r>
        <w:rPr>
          <w:i/>
        </w:rPr>
        <w:t>prin</w:t>
      </w:r>
      <w:r>
        <w:rPr>
          <w:i/>
          <w:spacing w:val="2"/>
        </w:rPr>
        <w:t xml:space="preserve"> </w:t>
      </w:r>
      <w:r>
        <w:rPr>
          <w:i/>
        </w:rPr>
        <w:t>amenajamentele</w:t>
      </w:r>
      <w:r>
        <w:rPr>
          <w:i/>
          <w:spacing w:val="1"/>
        </w:rPr>
        <w:t xml:space="preserve"> </w:t>
      </w:r>
      <w:r>
        <w:rPr>
          <w:i/>
        </w:rPr>
        <w:t>silvice</w:t>
      </w:r>
      <w:r>
        <w:rPr/>
        <w:t>‟.</w:t>
      </w:r>
    </w:p>
    <w:p>
      <w:pPr>
        <w:pStyle w:val="Normal"/>
        <w:spacing w:lineRule="auto" w:line="360"/>
        <w:ind w:firstLine="567"/>
        <w:jc w:val="both"/>
        <w:rPr>
          <w:lang w:val="ro-RO"/>
        </w:rPr>
      </w:pPr>
      <w:r>
        <w:rPr>
          <w:lang w:val="ro-RO"/>
        </w:rPr>
        <w:t xml:space="preserve">Geografic, pădurile sunt situate </w:t>
      </w:r>
      <w:r>
        <w:rPr>
          <w:lang w:val="fr-FR"/>
        </w:rPr>
        <w:t xml:space="preserve">în </w:t>
      </w:r>
      <w:r>
        <w:rPr>
          <w:lang w:val="ro-RO"/>
        </w:rPr>
        <w:t xml:space="preserve"> partea nordică a Județului Arad, in zona colinară și de câmpie din vestul țării, în bazinetul mijlociu al râului Crișul Alb, pe versantul drept și pe versantul stâng în partea de nord a județului Arad, ocupând prelungirile sudice ale Munților Codru-Moma, respectiv partea nordică a Munților Zărandului.</w:t>
      </w:r>
    </w:p>
    <w:p>
      <w:pPr>
        <w:pStyle w:val="Normal"/>
        <w:spacing w:lineRule="auto" w:line="360"/>
        <w:ind w:firstLine="567"/>
        <w:jc w:val="both"/>
        <w:rPr>
          <w:lang w:val="ro-RO"/>
        </w:rPr>
      </w:pPr>
      <w:r>
        <w:rPr>
          <w:color w:val="FF0000"/>
          <w:lang w:val="ro-RO"/>
        </w:rPr>
        <w:tab/>
      </w:r>
      <w:r>
        <w:rPr>
          <w:lang w:val="ro-RO"/>
        </w:rPr>
        <w:t>Administrativ, pădurile sunt situate pe teritoriul a 2 comune, din judeţul Arad și a 2 comune, din județul Bihor.</w:t>
      </w:r>
    </w:p>
    <w:p>
      <w:pPr>
        <w:pStyle w:val="Normal"/>
        <w:jc w:val="both"/>
        <w:rPr>
          <w:color w:val="FF0000"/>
          <w:sz w:val="16"/>
          <w:szCs w:val="16"/>
          <w:lang w:val="ro-RO"/>
        </w:rPr>
      </w:pPr>
      <w:r>
        <w:rPr>
          <w:color w:val="FF0000"/>
          <w:sz w:val="16"/>
          <w:szCs w:val="16"/>
          <w:lang w:val="ro-RO"/>
        </w:rPr>
      </w:r>
    </w:p>
    <w:p>
      <w:pPr>
        <w:pStyle w:val="Normal"/>
        <w:jc w:val="center"/>
        <w:rPr>
          <w:lang w:val="ro-RO"/>
        </w:rPr>
      </w:pPr>
      <w:r>
        <w:rPr>
          <w:lang w:val="ro-RO"/>
        </w:rPr>
        <w:t>Repartiţia fondului forestier pe unităţi administrativ – teritoriale</w:t>
      </w:r>
    </w:p>
    <w:p>
      <w:pPr>
        <w:pStyle w:val="Normal"/>
        <w:jc w:val="right"/>
        <w:rPr>
          <w:lang w:val="ro-RO"/>
        </w:rPr>
      </w:pPr>
      <w:r>
        <w:rPr>
          <w:lang w:val="ro-RO"/>
        </w:rPr>
      </w:r>
    </w:p>
    <w:tbl>
      <w:tblPr>
        <w:tblW w:w="8495" w:type="dxa"/>
        <w:jc w:val="center"/>
        <w:tblInd w:w="0" w:type="dxa"/>
        <w:tblCellMar>
          <w:top w:w="0" w:type="dxa"/>
          <w:left w:w="28" w:type="dxa"/>
          <w:bottom w:w="0" w:type="dxa"/>
          <w:right w:w="28" w:type="dxa"/>
        </w:tblCellMar>
        <w:tblLook w:firstRow="1" w:noVBand="1" w:lastRow="0" w:firstColumn="1" w:lastColumn="0" w:noHBand="0" w:val="04a0"/>
      </w:tblPr>
      <w:tblGrid>
        <w:gridCol w:w="539"/>
        <w:gridCol w:w="1044"/>
        <w:gridCol w:w="2040"/>
        <w:gridCol w:w="912"/>
        <w:gridCol w:w="1600"/>
        <w:gridCol w:w="1112"/>
        <w:gridCol w:w="1247"/>
      </w:tblGrid>
      <w:tr>
        <w:trPr>
          <w:trHeight w:val="231" w:hRule="atLeast"/>
        </w:trPr>
        <w:tc>
          <w:tcPr>
            <w:tcW w:w="539" w:type="dxa"/>
            <w:vMerge w:val="restart"/>
            <w:tcBorders>
              <w:top w:val="single" w:sz="8" w:space="0" w:color="000000"/>
              <w:left w:val="single" w:sz="8"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Nr. crt.</w:t>
            </w:r>
          </w:p>
        </w:tc>
        <w:tc>
          <w:tcPr>
            <w:tcW w:w="1044" w:type="dxa"/>
            <w:vMerge w:val="restart"/>
            <w:tcBorders>
              <w:top w:val="single" w:sz="8"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Judeţul</w:t>
            </w:r>
          </w:p>
        </w:tc>
        <w:tc>
          <w:tcPr>
            <w:tcW w:w="2040" w:type="dxa"/>
            <w:vMerge w:val="restart"/>
            <w:tcBorders>
              <w:top w:val="single" w:sz="8"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Unitatea teritorial administrativă</w:t>
            </w:r>
          </w:p>
        </w:tc>
        <w:tc>
          <w:tcPr>
            <w:tcW w:w="912" w:type="dxa"/>
            <w:vMerge w:val="restart"/>
            <w:tcBorders>
              <w:top w:val="single" w:sz="8" w:space="0" w:color="000000"/>
              <w:left w:val="single" w:sz="4" w:space="0" w:color="000000"/>
              <w:bottom w:val="single" w:sz="4" w:space="0" w:color="000000"/>
            </w:tcBorders>
            <w:vAlign w:val="center"/>
          </w:tcPr>
          <w:p>
            <w:pPr>
              <w:pStyle w:val="Normal"/>
              <w:jc w:val="center"/>
              <w:rPr>
                <w:sz w:val="20"/>
                <w:szCs w:val="20"/>
              </w:rPr>
            </w:pPr>
            <w:r>
              <w:rPr>
                <w:b/>
                <w:sz w:val="20"/>
                <w:szCs w:val="20"/>
                <w:lang w:val="ro-RO" w:eastAsia="ro-RO"/>
              </w:rPr>
              <w:t>Denumire O.S.</w:t>
            </w:r>
          </w:p>
        </w:tc>
        <w:tc>
          <w:tcPr>
            <w:tcW w:w="3959" w:type="dxa"/>
            <w:gridSpan w:val="3"/>
            <w:tcBorders>
              <w:top w:val="single" w:sz="8" w:space="0" w:color="000000"/>
              <w:left w:val="single" w:sz="4" w:space="0" w:color="000000"/>
              <w:bottom w:val="single" w:sz="4" w:space="0" w:color="000000"/>
              <w:right w:val="single" w:sz="8" w:space="0" w:color="000000"/>
            </w:tcBorders>
            <w:vAlign w:val="center"/>
          </w:tcPr>
          <w:p>
            <w:pPr>
              <w:pStyle w:val="Normal"/>
              <w:jc w:val="center"/>
              <w:rPr>
                <w:b/>
                <w:b/>
                <w:sz w:val="20"/>
                <w:szCs w:val="20"/>
                <w:lang w:val="ro-RO" w:eastAsia="ro-RO"/>
              </w:rPr>
            </w:pPr>
            <w:r>
              <w:rPr>
                <w:b/>
                <w:sz w:val="20"/>
                <w:szCs w:val="20"/>
                <w:lang w:val="ro-RO" w:eastAsia="ro-RO"/>
              </w:rPr>
              <w:t>U.P. aferente – ha</w:t>
            </w:r>
          </w:p>
        </w:tc>
      </w:tr>
      <w:tr>
        <w:trPr>
          <w:trHeight w:val="231" w:hRule="atLeast"/>
        </w:trPr>
        <w:tc>
          <w:tcPr>
            <w:tcW w:w="539" w:type="dxa"/>
            <w:vMerge w:val="continue"/>
            <w:tcBorders>
              <w:top w:val="single" w:sz="8" w:space="0" w:color="000000"/>
              <w:left w:val="single" w:sz="8" w:space="0" w:color="000000"/>
              <w:bottom w:val="single" w:sz="4" w:space="0" w:color="000000"/>
            </w:tcBorders>
            <w:vAlign w:val="center"/>
          </w:tcPr>
          <w:p>
            <w:pPr>
              <w:pStyle w:val="Normal"/>
              <w:snapToGrid w:val="false"/>
              <w:jc w:val="center"/>
              <w:rPr>
                <w:b/>
                <w:b/>
                <w:sz w:val="20"/>
                <w:szCs w:val="20"/>
                <w:lang w:val="ro-RO" w:eastAsia="ro-RO"/>
              </w:rPr>
            </w:pPr>
            <w:r>
              <w:rPr>
                <w:b/>
                <w:sz w:val="20"/>
                <w:szCs w:val="20"/>
                <w:lang w:val="ro-RO" w:eastAsia="ro-RO"/>
              </w:rPr>
            </w:r>
          </w:p>
        </w:tc>
        <w:tc>
          <w:tcPr>
            <w:tcW w:w="1044" w:type="dxa"/>
            <w:vMerge w:val="continue"/>
            <w:tcBorders>
              <w:top w:val="single" w:sz="8" w:space="0" w:color="000000"/>
              <w:left w:val="single" w:sz="4" w:space="0" w:color="000000"/>
              <w:bottom w:val="single" w:sz="4" w:space="0" w:color="000000"/>
            </w:tcBorders>
            <w:vAlign w:val="center"/>
          </w:tcPr>
          <w:p>
            <w:pPr>
              <w:pStyle w:val="Normal"/>
              <w:snapToGrid w:val="false"/>
              <w:jc w:val="center"/>
              <w:rPr>
                <w:b/>
                <w:b/>
                <w:sz w:val="20"/>
                <w:szCs w:val="20"/>
                <w:lang w:val="ro-RO" w:eastAsia="ro-RO"/>
              </w:rPr>
            </w:pPr>
            <w:r>
              <w:rPr>
                <w:b/>
                <w:sz w:val="20"/>
                <w:szCs w:val="20"/>
                <w:lang w:val="ro-RO" w:eastAsia="ro-RO"/>
              </w:rPr>
            </w:r>
          </w:p>
        </w:tc>
        <w:tc>
          <w:tcPr>
            <w:tcW w:w="2040" w:type="dxa"/>
            <w:vMerge w:val="continue"/>
            <w:tcBorders>
              <w:top w:val="single" w:sz="8" w:space="0" w:color="000000"/>
              <w:left w:val="single" w:sz="4" w:space="0" w:color="000000"/>
              <w:bottom w:val="single" w:sz="4" w:space="0" w:color="000000"/>
            </w:tcBorders>
            <w:vAlign w:val="center"/>
          </w:tcPr>
          <w:p>
            <w:pPr>
              <w:pStyle w:val="Normal"/>
              <w:snapToGrid w:val="false"/>
              <w:jc w:val="center"/>
              <w:rPr>
                <w:b/>
                <w:b/>
                <w:sz w:val="20"/>
                <w:szCs w:val="20"/>
                <w:lang w:val="ro-RO" w:eastAsia="ro-RO"/>
              </w:rPr>
            </w:pPr>
            <w:r>
              <w:rPr>
                <w:b/>
                <w:sz w:val="20"/>
                <w:szCs w:val="20"/>
                <w:lang w:val="ro-RO" w:eastAsia="ro-RO"/>
              </w:rPr>
            </w:r>
          </w:p>
        </w:tc>
        <w:tc>
          <w:tcPr>
            <w:tcW w:w="912" w:type="dxa"/>
            <w:vMerge w:val="continue"/>
            <w:tcBorders>
              <w:top w:val="single" w:sz="8" w:space="0" w:color="000000"/>
              <w:left w:val="single" w:sz="4" w:space="0" w:color="000000"/>
              <w:bottom w:val="single" w:sz="4" w:space="0" w:color="000000"/>
            </w:tcBorders>
            <w:vAlign w:val="center"/>
          </w:tcPr>
          <w:p>
            <w:pPr>
              <w:pStyle w:val="Normal"/>
              <w:snapToGrid w:val="false"/>
              <w:jc w:val="center"/>
              <w:rPr>
                <w:b/>
                <w:b/>
                <w:sz w:val="20"/>
                <w:szCs w:val="20"/>
                <w:lang w:val="ro-RO" w:eastAsia="ro-RO"/>
              </w:rPr>
            </w:pPr>
            <w:r>
              <w:rPr>
                <w:b/>
                <w:sz w:val="20"/>
                <w:szCs w:val="20"/>
                <w:lang w:val="ro-RO" w:eastAsia="ro-RO"/>
              </w:rPr>
            </w:r>
          </w:p>
        </w:tc>
        <w:tc>
          <w:tcPr>
            <w:tcW w:w="1600"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IV</w:t>
            </w:r>
          </w:p>
        </w:tc>
        <w:tc>
          <w:tcPr>
            <w:tcW w:w="1112"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V</w:t>
            </w:r>
          </w:p>
        </w:tc>
        <w:tc>
          <w:tcPr>
            <w:tcW w:w="1247" w:type="dxa"/>
            <w:tcBorders>
              <w:top w:val="single" w:sz="4" w:space="0" w:color="000000"/>
              <w:left w:val="single" w:sz="4" w:space="0" w:color="000000"/>
              <w:bottom w:val="single" w:sz="4" w:space="0" w:color="000000"/>
              <w:right w:val="single" w:sz="8" w:space="0" w:color="000000"/>
            </w:tcBorders>
            <w:vAlign w:val="center"/>
          </w:tcPr>
          <w:p>
            <w:pPr>
              <w:pStyle w:val="Normal"/>
              <w:jc w:val="center"/>
              <w:rPr>
                <w:b/>
                <w:b/>
                <w:sz w:val="20"/>
                <w:szCs w:val="20"/>
                <w:lang w:val="ro-RO" w:eastAsia="ro-RO"/>
              </w:rPr>
            </w:pPr>
            <w:r>
              <w:rPr>
                <w:b/>
                <w:sz w:val="20"/>
                <w:szCs w:val="20"/>
                <w:lang w:val="ro-RO" w:eastAsia="ro-RO"/>
              </w:rPr>
              <w:t>Total</w:t>
            </w:r>
          </w:p>
        </w:tc>
      </w:tr>
      <w:tr>
        <w:trPr/>
        <w:tc>
          <w:tcPr>
            <w:tcW w:w="539" w:type="dxa"/>
            <w:tcBorders>
              <w:top w:val="single" w:sz="4" w:space="0" w:color="000000"/>
              <w:left w:val="single" w:sz="4" w:space="0" w:color="000000"/>
              <w:bottom w:val="single" w:sz="4" w:space="0" w:color="000000"/>
            </w:tcBorders>
            <w:vAlign w:val="center"/>
          </w:tcPr>
          <w:p>
            <w:pPr>
              <w:pStyle w:val="Normal"/>
              <w:numPr>
                <w:ilvl w:val="0"/>
                <w:numId w:val="6"/>
              </w:numPr>
              <w:snapToGrid w:val="false"/>
              <w:jc w:val="center"/>
              <w:rPr>
                <w:b/>
                <w:b/>
                <w:sz w:val="20"/>
                <w:szCs w:val="20"/>
                <w:lang w:val="ro-RO" w:eastAsia="ro-RO"/>
              </w:rPr>
            </w:pPr>
            <w:r>
              <w:rPr>
                <w:b/>
                <w:sz w:val="20"/>
                <w:szCs w:val="20"/>
                <w:lang w:val="ro-RO" w:eastAsia="ro-RO"/>
              </w:rPr>
            </w:r>
          </w:p>
        </w:tc>
        <w:tc>
          <w:tcPr>
            <w:tcW w:w="1044" w:type="dxa"/>
            <w:vMerge w:val="restart"/>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t>Arad</w:t>
            </w:r>
          </w:p>
        </w:tc>
        <w:tc>
          <w:tcPr>
            <w:tcW w:w="2040" w:type="dxa"/>
            <w:tcBorders>
              <w:top w:val="single" w:sz="4" w:space="0" w:color="000000"/>
              <w:left w:val="single" w:sz="4" w:space="0" w:color="000000"/>
              <w:bottom w:val="single" w:sz="4" w:space="0" w:color="000000"/>
            </w:tcBorders>
            <w:vAlign w:val="center"/>
          </w:tcPr>
          <w:p>
            <w:pPr>
              <w:pStyle w:val="Normal"/>
              <w:rPr>
                <w:sz w:val="20"/>
                <w:szCs w:val="20"/>
                <w:lang w:val="ro-RO" w:eastAsia="ro-RO"/>
              </w:rPr>
            </w:pPr>
            <w:r>
              <w:rPr>
                <w:sz w:val="20"/>
                <w:szCs w:val="20"/>
                <w:lang w:val="ro-RO"/>
              </w:rPr>
              <w:t>Archiș</w:t>
            </w:r>
          </w:p>
        </w:tc>
        <w:tc>
          <w:tcPr>
            <w:tcW w:w="912"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t>Beliu</w:t>
            </w:r>
          </w:p>
        </w:tc>
        <w:tc>
          <w:tcPr>
            <w:tcW w:w="1600" w:type="dxa"/>
            <w:tcBorders>
              <w:top w:val="single" w:sz="4" w:space="0" w:color="000000"/>
              <w:left w:val="single" w:sz="4" w:space="0" w:color="000000"/>
              <w:bottom w:val="single" w:sz="4" w:space="0" w:color="000000"/>
            </w:tcBorders>
          </w:tcPr>
          <w:p>
            <w:pPr>
              <w:pStyle w:val="Normal"/>
              <w:jc w:val="center"/>
              <w:rPr>
                <w:sz w:val="20"/>
                <w:szCs w:val="20"/>
                <w:lang w:val="ro-RO" w:eastAsia="ro-RO"/>
              </w:rPr>
            </w:pPr>
            <w:r>
              <w:rPr>
                <w:sz w:val="20"/>
                <w:szCs w:val="20"/>
                <w:lang w:val="ro-RO"/>
              </w:rPr>
              <w:t>622,17</w:t>
            </w:r>
          </w:p>
        </w:tc>
        <w:tc>
          <w:tcPr>
            <w:tcW w:w="1112" w:type="dxa"/>
            <w:tcBorders>
              <w:top w:val="single" w:sz="4" w:space="0" w:color="000000"/>
              <w:left w:val="single" w:sz="4" w:space="0" w:color="000000"/>
              <w:bottom w:val="single" w:sz="4" w:space="0" w:color="000000"/>
            </w:tcBorders>
          </w:tcPr>
          <w:p>
            <w:pPr>
              <w:pStyle w:val="Normal"/>
              <w:jc w:val="center"/>
              <w:rPr>
                <w:sz w:val="20"/>
                <w:szCs w:val="20"/>
                <w:lang w:val="ro-RO" w:eastAsia="ro-RO"/>
              </w:rPr>
            </w:pPr>
            <w:r>
              <w:rPr>
                <w:sz w:val="20"/>
                <w:szCs w:val="20"/>
                <w:lang w:val="ro-RO"/>
              </w:rPr>
              <w:t>893,28</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spacing w:val="-6"/>
                <w:sz w:val="20"/>
                <w:szCs w:val="20"/>
                <w:lang w:val="ro-RO" w:eastAsia="ro-RO"/>
              </w:rPr>
            </w:pPr>
            <w:r>
              <w:rPr>
                <w:b/>
                <w:spacing w:val="-6"/>
                <w:sz w:val="20"/>
                <w:szCs w:val="20"/>
                <w:lang w:val="ro-RO" w:eastAsia="ro-RO"/>
              </w:rPr>
              <w:t>1515,45</w:t>
            </w:r>
          </w:p>
        </w:tc>
      </w:tr>
      <w:tr>
        <w:trPr/>
        <w:tc>
          <w:tcPr>
            <w:tcW w:w="539" w:type="dxa"/>
            <w:tcBorders>
              <w:top w:val="single" w:sz="4" w:space="0" w:color="000000"/>
              <w:left w:val="single" w:sz="4" w:space="0" w:color="000000"/>
              <w:bottom w:val="single" w:sz="4" w:space="0" w:color="000000"/>
            </w:tcBorders>
            <w:vAlign w:val="center"/>
          </w:tcPr>
          <w:p>
            <w:pPr>
              <w:pStyle w:val="Normal"/>
              <w:numPr>
                <w:ilvl w:val="0"/>
                <w:numId w:val="6"/>
              </w:numPr>
              <w:snapToGrid w:val="false"/>
              <w:jc w:val="center"/>
              <w:rPr>
                <w:b/>
                <w:b/>
                <w:spacing w:val="-6"/>
                <w:sz w:val="20"/>
                <w:szCs w:val="20"/>
                <w:lang w:val="ro-RO" w:eastAsia="ro-RO"/>
              </w:rPr>
            </w:pPr>
            <w:r>
              <w:rPr>
                <w:b/>
                <w:spacing w:val="-6"/>
                <w:sz w:val="20"/>
                <w:szCs w:val="20"/>
                <w:lang w:val="ro-RO" w:eastAsia="ro-RO"/>
              </w:rPr>
            </w:r>
          </w:p>
        </w:tc>
        <w:tc>
          <w:tcPr>
            <w:tcW w:w="1044" w:type="dxa"/>
            <w:vMerge w:val="continue"/>
            <w:tcBorders>
              <w:top w:val="single" w:sz="4" w:space="0" w:color="000000"/>
              <w:left w:val="single" w:sz="4" w:space="0" w:color="000000"/>
              <w:bottom w:val="single" w:sz="4" w:space="0" w:color="000000"/>
            </w:tcBorders>
            <w:vAlign w:val="center"/>
          </w:tcPr>
          <w:p>
            <w:pPr>
              <w:pStyle w:val="Normal"/>
              <w:snapToGrid w:val="false"/>
              <w:jc w:val="center"/>
              <w:rPr>
                <w:sz w:val="20"/>
                <w:szCs w:val="20"/>
                <w:lang w:val="ro-RO" w:eastAsia="ro-RO"/>
              </w:rPr>
            </w:pPr>
            <w:r>
              <w:rPr>
                <w:sz w:val="20"/>
                <w:szCs w:val="20"/>
                <w:lang w:val="ro-RO" w:eastAsia="ro-RO"/>
              </w:rPr>
            </w:r>
          </w:p>
        </w:tc>
        <w:tc>
          <w:tcPr>
            <w:tcW w:w="2040" w:type="dxa"/>
            <w:tcBorders>
              <w:top w:val="single" w:sz="4" w:space="0" w:color="000000"/>
              <w:left w:val="single" w:sz="4" w:space="0" w:color="000000"/>
              <w:bottom w:val="single" w:sz="4" w:space="0" w:color="000000"/>
            </w:tcBorders>
            <w:vAlign w:val="center"/>
          </w:tcPr>
          <w:p>
            <w:pPr>
              <w:pStyle w:val="Normal"/>
              <w:rPr>
                <w:sz w:val="20"/>
                <w:szCs w:val="20"/>
                <w:lang w:val="ro-RO" w:eastAsia="ro-RO"/>
              </w:rPr>
            </w:pPr>
            <w:r>
              <w:rPr>
                <w:sz w:val="20"/>
                <w:szCs w:val="20"/>
                <w:lang w:val="ro-RO"/>
              </w:rPr>
              <w:t>Hășmaș</w:t>
            </w:r>
          </w:p>
        </w:tc>
        <w:tc>
          <w:tcPr>
            <w:tcW w:w="912"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t>Beliu</w:t>
            </w:r>
          </w:p>
        </w:tc>
        <w:tc>
          <w:tcPr>
            <w:tcW w:w="1600"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rPr>
              <w:t>1400,97</w:t>
            </w:r>
          </w:p>
        </w:tc>
        <w:tc>
          <w:tcPr>
            <w:tcW w:w="1112"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eastAsia="ro-RO"/>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left="0" w:hanging="0"/>
              <w:jc w:val="center"/>
              <w:outlineLvl w:val="6"/>
              <w:rPr>
                <w:b/>
                <w:b/>
                <w:bCs/>
                <w:spacing w:val="-6"/>
                <w:sz w:val="20"/>
                <w:szCs w:val="20"/>
                <w:lang w:val="ro-RO" w:eastAsia="ro-RO"/>
              </w:rPr>
            </w:pPr>
            <w:r>
              <w:rPr>
                <w:b/>
                <w:bCs/>
                <w:spacing w:val="-6"/>
                <w:sz w:val="20"/>
                <w:szCs w:val="20"/>
                <w:lang w:val="ro-RO" w:eastAsia="ro-RO"/>
              </w:rPr>
              <w:t>1400,97</w:t>
            </w:r>
          </w:p>
        </w:tc>
      </w:tr>
      <w:tr>
        <w:trPr/>
        <w:tc>
          <w:tcPr>
            <w:tcW w:w="3623" w:type="dxa"/>
            <w:gridSpan w:val="3"/>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Total judeţul Arad</w:t>
            </w:r>
          </w:p>
        </w:tc>
        <w:tc>
          <w:tcPr>
            <w:tcW w:w="912"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w:t>
            </w:r>
          </w:p>
        </w:tc>
        <w:tc>
          <w:tcPr>
            <w:tcW w:w="1600"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b/>
                <w:b/>
                <w:sz w:val="20"/>
                <w:szCs w:val="20"/>
                <w:lang w:val="ro-RO" w:eastAsia="ro-RO"/>
              </w:rPr>
            </w:pPr>
            <w:r>
              <w:rPr>
                <w:b/>
                <w:sz w:val="20"/>
                <w:szCs w:val="20"/>
                <w:lang w:val="ro-RO" w:eastAsia="ro-RO"/>
              </w:rPr>
              <w:t>2023,14</w:t>
            </w:r>
          </w:p>
        </w:tc>
        <w:tc>
          <w:tcPr>
            <w:tcW w:w="1112"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b/>
                <w:b/>
                <w:sz w:val="20"/>
                <w:szCs w:val="20"/>
                <w:lang w:val="ro-RO" w:eastAsia="ro-RO"/>
              </w:rPr>
            </w:pPr>
            <w:r>
              <w:rPr>
                <w:b/>
                <w:sz w:val="20"/>
                <w:szCs w:val="20"/>
                <w:lang w:val="ro-RO" w:eastAsia="ro-RO"/>
              </w:rPr>
              <w:t>893,28</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left="0" w:hanging="0"/>
              <w:jc w:val="center"/>
              <w:outlineLvl w:val="6"/>
              <w:rPr>
                <w:b/>
                <w:b/>
                <w:spacing w:val="-6"/>
                <w:sz w:val="20"/>
                <w:szCs w:val="20"/>
                <w:lang w:val="ro-RO" w:eastAsia="ro-RO"/>
              </w:rPr>
            </w:pPr>
            <w:r>
              <w:rPr>
                <w:b/>
                <w:spacing w:val="-6"/>
                <w:sz w:val="20"/>
                <w:szCs w:val="20"/>
                <w:lang w:val="ro-RO" w:eastAsia="ro-RO"/>
              </w:rPr>
              <w:t>2916,42</w:t>
            </w:r>
          </w:p>
        </w:tc>
      </w:tr>
      <w:tr>
        <w:trPr/>
        <w:tc>
          <w:tcPr>
            <w:tcW w:w="539" w:type="dxa"/>
            <w:tcBorders>
              <w:top w:val="single" w:sz="4" w:space="0" w:color="000000"/>
              <w:left w:val="single" w:sz="4" w:space="0" w:color="000000"/>
              <w:bottom w:val="single" w:sz="4" w:space="0" w:color="000000"/>
            </w:tcBorders>
            <w:vAlign w:val="center"/>
          </w:tcPr>
          <w:p>
            <w:pPr>
              <w:pStyle w:val="Normal"/>
              <w:numPr>
                <w:ilvl w:val="0"/>
                <w:numId w:val="6"/>
              </w:numPr>
              <w:snapToGrid w:val="false"/>
              <w:jc w:val="center"/>
              <w:rPr>
                <w:b/>
                <w:b/>
                <w:spacing w:val="-6"/>
                <w:sz w:val="20"/>
                <w:szCs w:val="20"/>
                <w:lang w:val="ro-RO" w:eastAsia="ro-RO"/>
              </w:rPr>
            </w:pPr>
            <w:r>
              <w:rPr>
                <w:b/>
                <w:spacing w:val="-6"/>
                <w:sz w:val="20"/>
                <w:szCs w:val="20"/>
                <w:lang w:val="ro-RO" w:eastAsia="ro-RO"/>
              </w:rPr>
            </w:r>
          </w:p>
        </w:tc>
        <w:tc>
          <w:tcPr>
            <w:tcW w:w="1044"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bCs/>
                <w:sz w:val="20"/>
                <w:szCs w:val="20"/>
                <w:lang w:val="ro-RO"/>
              </w:rPr>
              <w:t>Bihor</w:t>
            </w:r>
          </w:p>
        </w:tc>
        <w:tc>
          <w:tcPr>
            <w:tcW w:w="2040" w:type="dxa"/>
            <w:tcBorders>
              <w:top w:val="single" w:sz="4" w:space="0" w:color="000000"/>
              <w:left w:val="single" w:sz="4" w:space="0" w:color="000000"/>
              <w:bottom w:val="single" w:sz="4" w:space="0" w:color="000000"/>
            </w:tcBorders>
            <w:vAlign w:val="center"/>
          </w:tcPr>
          <w:p>
            <w:pPr>
              <w:pStyle w:val="Normal"/>
              <w:rPr>
                <w:bCs/>
                <w:sz w:val="20"/>
                <w:szCs w:val="20"/>
                <w:lang w:val="ro-RO"/>
              </w:rPr>
            </w:pPr>
            <w:r>
              <w:rPr>
                <w:bCs/>
                <w:sz w:val="20"/>
                <w:szCs w:val="20"/>
                <w:lang w:val="ro-RO"/>
              </w:rPr>
              <w:t>Șoimi</w:t>
            </w:r>
          </w:p>
        </w:tc>
        <w:tc>
          <w:tcPr>
            <w:tcW w:w="912"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t>Beliu</w:t>
            </w:r>
          </w:p>
        </w:tc>
        <w:tc>
          <w:tcPr>
            <w:tcW w:w="1600"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eastAsia="ro-RO"/>
              </w:rPr>
              <w:t>2,73</w:t>
            </w:r>
          </w:p>
        </w:tc>
        <w:tc>
          <w:tcPr>
            <w:tcW w:w="1112"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eastAsia="ro-RO"/>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left="0" w:hanging="0"/>
              <w:jc w:val="center"/>
              <w:outlineLvl w:val="6"/>
              <w:rPr>
                <w:b/>
                <w:b/>
                <w:spacing w:val="-6"/>
                <w:sz w:val="20"/>
                <w:szCs w:val="20"/>
                <w:lang w:val="ro-RO" w:eastAsia="ro-RO"/>
              </w:rPr>
            </w:pPr>
            <w:r>
              <w:rPr>
                <w:b/>
                <w:spacing w:val="-6"/>
                <w:sz w:val="20"/>
                <w:szCs w:val="20"/>
                <w:lang w:val="ro-RO" w:eastAsia="ro-RO"/>
              </w:rPr>
              <w:t>2,73</w:t>
            </w:r>
          </w:p>
        </w:tc>
      </w:tr>
      <w:tr>
        <w:trPr/>
        <w:tc>
          <w:tcPr>
            <w:tcW w:w="539" w:type="dxa"/>
            <w:tcBorders>
              <w:top w:val="single" w:sz="4" w:space="0" w:color="000000"/>
              <w:left w:val="single" w:sz="4" w:space="0" w:color="000000"/>
              <w:bottom w:val="single" w:sz="4" w:space="0" w:color="000000"/>
            </w:tcBorders>
            <w:vAlign w:val="center"/>
          </w:tcPr>
          <w:p>
            <w:pPr>
              <w:pStyle w:val="Normal"/>
              <w:numPr>
                <w:ilvl w:val="0"/>
                <w:numId w:val="6"/>
              </w:numPr>
              <w:snapToGrid w:val="false"/>
              <w:jc w:val="center"/>
              <w:rPr>
                <w:b/>
                <w:b/>
                <w:spacing w:val="-6"/>
                <w:sz w:val="20"/>
                <w:szCs w:val="20"/>
                <w:lang w:val="ro-RO" w:eastAsia="ro-RO"/>
              </w:rPr>
            </w:pPr>
            <w:r>
              <w:rPr>
                <w:b/>
                <w:spacing w:val="-6"/>
                <w:sz w:val="20"/>
                <w:szCs w:val="20"/>
                <w:lang w:val="ro-RO" w:eastAsia="ro-RO"/>
              </w:rPr>
            </w:r>
          </w:p>
        </w:tc>
        <w:tc>
          <w:tcPr>
            <w:tcW w:w="1044"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r>
          </w:p>
        </w:tc>
        <w:tc>
          <w:tcPr>
            <w:tcW w:w="2040" w:type="dxa"/>
            <w:tcBorders>
              <w:top w:val="single" w:sz="4" w:space="0" w:color="000000"/>
              <w:left w:val="single" w:sz="4" w:space="0" w:color="000000"/>
              <w:bottom w:val="single" w:sz="4" w:space="0" w:color="000000"/>
            </w:tcBorders>
            <w:vAlign w:val="center"/>
          </w:tcPr>
          <w:p>
            <w:pPr>
              <w:pStyle w:val="Normal"/>
              <w:rPr>
                <w:bCs/>
                <w:sz w:val="20"/>
                <w:szCs w:val="20"/>
                <w:lang w:val="ro-RO"/>
              </w:rPr>
            </w:pPr>
            <w:r>
              <w:rPr>
                <w:bCs/>
                <w:sz w:val="20"/>
                <w:szCs w:val="20"/>
                <w:lang w:val="ro-RO"/>
              </w:rPr>
              <w:t>Tărcaia</w:t>
            </w:r>
          </w:p>
        </w:tc>
        <w:tc>
          <w:tcPr>
            <w:tcW w:w="912" w:type="dxa"/>
            <w:tcBorders>
              <w:top w:val="single" w:sz="4" w:space="0" w:color="000000"/>
              <w:left w:val="single" w:sz="4" w:space="0" w:color="000000"/>
              <w:bottom w:val="single" w:sz="4" w:space="0" w:color="000000"/>
            </w:tcBorders>
            <w:vAlign w:val="center"/>
          </w:tcPr>
          <w:p>
            <w:pPr>
              <w:pStyle w:val="Normal"/>
              <w:jc w:val="center"/>
              <w:rPr>
                <w:sz w:val="20"/>
                <w:szCs w:val="20"/>
                <w:lang w:val="ro-RO" w:eastAsia="ro-RO"/>
              </w:rPr>
            </w:pPr>
            <w:r>
              <w:rPr>
                <w:sz w:val="20"/>
                <w:szCs w:val="20"/>
                <w:lang w:val="ro-RO" w:eastAsia="ro-RO"/>
              </w:rPr>
              <w:t>Beliu</w:t>
            </w:r>
          </w:p>
        </w:tc>
        <w:tc>
          <w:tcPr>
            <w:tcW w:w="1600"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eastAsia="ro-RO"/>
              </w:rPr>
              <w:t>0,17</w:t>
            </w:r>
          </w:p>
        </w:tc>
        <w:tc>
          <w:tcPr>
            <w:tcW w:w="1112"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sz w:val="20"/>
                <w:szCs w:val="20"/>
                <w:lang w:val="ro-RO" w:eastAsia="ro-RO"/>
              </w:rPr>
            </w:pPr>
            <w:r>
              <w:rPr>
                <w:sz w:val="20"/>
                <w:szCs w:val="20"/>
                <w:lang w:val="ro-RO" w:eastAsia="ro-RO"/>
              </w:rPr>
              <w:t>0,67</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left="0" w:hanging="0"/>
              <w:jc w:val="center"/>
              <w:outlineLvl w:val="6"/>
              <w:rPr>
                <w:b/>
                <w:b/>
                <w:spacing w:val="-6"/>
                <w:sz w:val="20"/>
                <w:szCs w:val="20"/>
                <w:lang w:val="ro-RO" w:eastAsia="ro-RO"/>
              </w:rPr>
            </w:pPr>
            <w:r>
              <w:rPr>
                <w:b/>
                <w:spacing w:val="-6"/>
                <w:sz w:val="20"/>
                <w:szCs w:val="20"/>
                <w:lang w:val="ro-RO" w:eastAsia="ro-RO"/>
              </w:rPr>
              <w:t>0,84</w:t>
            </w:r>
          </w:p>
        </w:tc>
      </w:tr>
      <w:tr>
        <w:trPr/>
        <w:tc>
          <w:tcPr>
            <w:tcW w:w="3623" w:type="dxa"/>
            <w:gridSpan w:val="3"/>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Total judeţul Bihor</w:t>
            </w:r>
          </w:p>
        </w:tc>
        <w:tc>
          <w:tcPr>
            <w:tcW w:w="912"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w:t>
            </w:r>
          </w:p>
        </w:tc>
        <w:tc>
          <w:tcPr>
            <w:tcW w:w="1600"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b/>
                <w:b/>
                <w:sz w:val="20"/>
                <w:szCs w:val="20"/>
                <w:lang w:val="ro-RO" w:eastAsia="ro-RO"/>
              </w:rPr>
            </w:pPr>
            <w:r>
              <w:rPr>
                <w:b/>
                <w:sz w:val="20"/>
                <w:szCs w:val="20"/>
                <w:lang w:val="ro-RO" w:eastAsia="ro-RO"/>
              </w:rPr>
              <w:t>2,9</w:t>
            </w:r>
          </w:p>
        </w:tc>
        <w:tc>
          <w:tcPr>
            <w:tcW w:w="1112" w:type="dxa"/>
            <w:tcBorders>
              <w:top w:val="single" w:sz="4" w:space="0" w:color="000000"/>
              <w:left w:val="single" w:sz="4" w:space="0" w:color="000000"/>
              <w:bottom w:val="single" w:sz="4" w:space="0" w:color="000000"/>
            </w:tcBorders>
            <w:vAlign w:val="center"/>
          </w:tcPr>
          <w:p>
            <w:pPr>
              <w:pStyle w:val="Normal"/>
              <w:keepNext w:val="true"/>
              <w:numPr>
                <w:ilvl w:val="0"/>
                <w:numId w:val="0"/>
              </w:numPr>
              <w:ind w:left="0" w:hanging="0"/>
              <w:jc w:val="center"/>
              <w:outlineLvl w:val="6"/>
              <w:rPr>
                <w:b/>
                <w:b/>
                <w:sz w:val="20"/>
                <w:szCs w:val="20"/>
                <w:lang w:val="ro-RO" w:eastAsia="ro-RO"/>
              </w:rPr>
            </w:pPr>
            <w:r>
              <w:rPr>
                <w:b/>
                <w:sz w:val="20"/>
                <w:szCs w:val="20"/>
                <w:lang w:val="ro-RO" w:eastAsia="ro-RO"/>
              </w:rPr>
              <w:t>0,67</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ind w:left="0" w:hanging="0"/>
              <w:jc w:val="center"/>
              <w:outlineLvl w:val="6"/>
              <w:rPr>
                <w:b/>
                <w:b/>
                <w:spacing w:val="-6"/>
                <w:sz w:val="20"/>
                <w:szCs w:val="20"/>
                <w:lang w:val="ro-RO" w:eastAsia="ro-RO"/>
              </w:rPr>
            </w:pPr>
            <w:r>
              <w:rPr>
                <w:b/>
                <w:spacing w:val="-6"/>
                <w:sz w:val="20"/>
                <w:szCs w:val="20"/>
                <w:lang w:val="ro-RO" w:eastAsia="ro-RO"/>
              </w:rPr>
              <w:t>3,57</w:t>
            </w:r>
          </w:p>
        </w:tc>
      </w:tr>
      <w:tr>
        <w:trPr>
          <w:trHeight w:val="240" w:hRule="atLeast"/>
          <w:cantSplit w:val="true"/>
        </w:trPr>
        <w:tc>
          <w:tcPr>
            <w:tcW w:w="3623" w:type="dxa"/>
            <w:gridSpan w:val="3"/>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Total ocol</w:t>
            </w:r>
          </w:p>
        </w:tc>
        <w:tc>
          <w:tcPr>
            <w:tcW w:w="912"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w:t>
            </w:r>
          </w:p>
        </w:tc>
        <w:tc>
          <w:tcPr>
            <w:tcW w:w="1600"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2026,04</w:t>
            </w:r>
          </w:p>
        </w:tc>
        <w:tc>
          <w:tcPr>
            <w:tcW w:w="1112" w:type="dxa"/>
            <w:tcBorders>
              <w:top w:val="single" w:sz="4" w:space="0" w:color="000000"/>
              <w:left w:val="single" w:sz="4" w:space="0" w:color="000000"/>
              <w:bottom w:val="single" w:sz="4" w:space="0" w:color="000000"/>
            </w:tcBorders>
            <w:vAlign w:val="center"/>
          </w:tcPr>
          <w:p>
            <w:pPr>
              <w:pStyle w:val="Normal"/>
              <w:jc w:val="center"/>
              <w:rPr>
                <w:b/>
                <w:b/>
                <w:sz w:val="20"/>
                <w:szCs w:val="20"/>
                <w:lang w:val="ro-RO" w:eastAsia="ro-RO"/>
              </w:rPr>
            </w:pPr>
            <w:r>
              <w:rPr>
                <w:b/>
                <w:sz w:val="20"/>
                <w:szCs w:val="20"/>
                <w:lang w:val="ro-RO" w:eastAsia="ro-RO"/>
              </w:rPr>
              <w:t>893,95</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spacing w:val="-6"/>
                <w:sz w:val="20"/>
                <w:szCs w:val="20"/>
                <w:lang w:val="ro-RO" w:eastAsia="ro-RO"/>
              </w:rPr>
            </w:pPr>
            <w:r>
              <w:rPr>
                <w:b/>
                <w:spacing w:val="-6"/>
                <w:sz w:val="20"/>
                <w:szCs w:val="20"/>
                <w:lang w:val="ro-RO" w:eastAsia="ro-RO"/>
              </w:rPr>
              <w:t>2919,99</w:t>
            </w:r>
          </w:p>
        </w:tc>
      </w:tr>
    </w:tbl>
    <w:p>
      <w:pPr>
        <w:pStyle w:val="Normal"/>
        <w:ind w:firstLine="567"/>
        <w:jc w:val="both"/>
        <w:rPr>
          <w:color w:val="FF0000"/>
          <w:lang w:val="en-GB"/>
        </w:rPr>
      </w:pPr>
      <w:r>
        <w:rPr>
          <w:color w:val="FF0000"/>
          <w:lang w:val="en-GB"/>
        </w:rPr>
      </w:r>
    </w:p>
    <w:p>
      <w:pPr>
        <w:pStyle w:val="Normal"/>
        <w:spacing w:lineRule="auto" w:line="360"/>
        <w:ind w:firstLine="567"/>
        <w:jc w:val="both"/>
        <w:rPr/>
      </w:pPr>
      <w:r>
        <w:rPr>
          <w:rFonts w:eastAsia="Times New Roman" w:cs="Times New Roman"/>
          <w:color w:val="auto"/>
          <w:kern w:val="0"/>
          <w:sz w:val="24"/>
          <w:szCs w:val="24"/>
          <w:lang w:val="en-US" w:eastAsia="zh-CN" w:bidi="ar-SA"/>
        </w:rPr>
        <w:t>Fondul forestie se suprapune partial din UP IV Hasmas trupul 1 de padure – aproximativ 200 m liniar si tot suprapunere partiala este si la UP V Groseni cu trupul 1 si 2 aproximativ 6 – 8 m</w:t>
      </w:r>
      <w:r>
        <w:rPr>
          <w:lang w:val="ro-RO"/>
        </w:rPr>
        <w:t xml:space="preserve">. </w:t>
      </w:r>
    </w:p>
    <w:p>
      <w:pPr>
        <w:pStyle w:val="TextBody"/>
        <w:ind w:firstLine="567"/>
        <w:rPr>
          <w:rFonts w:ascii="Times New Roman" w:hAnsi="Times New Roman" w:cs="Times New Roman"/>
          <w:color w:val="FF0000"/>
          <w:sz w:val="20"/>
          <w:szCs w:val="24"/>
          <w:lang w:val="en-US"/>
        </w:rPr>
      </w:pPr>
      <w:r>
        <w:rPr>
          <w:rFonts w:cs="Times New Roman" w:ascii="Times New Roman" w:hAnsi="Times New Roman"/>
          <w:color w:val="FF0000"/>
          <w:sz w:val="20"/>
          <w:szCs w:val="24"/>
          <w:lang w:val="en-US"/>
        </w:rPr>
      </w:r>
    </w:p>
    <w:p>
      <w:pPr>
        <w:pStyle w:val="TextBody"/>
        <w:spacing w:lineRule="auto" w:line="360"/>
        <w:ind w:firstLine="567"/>
        <w:rPr/>
      </w:pPr>
      <w:r>
        <w:rPr>
          <w:rFonts w:cs="Times New Roman" w:ascii="Times New Roman" w:hAnsi="Times New Roman"/>
          <w:szCs w:val="24"/>
          <w:lang w:val="en-US"/>
        </w:rPr>
        <w:t>Situația lucrărilor propuse prin amenajament, descrierea acestora și localizarea față de ANPIC sunt redate în cele ce urmează:</w:t>
      </w:r>
    </w:p>
    <w:p>
      <w:pPr>
        <w:pStyle w:val="TextBody"/>
        <w:spacing w:lineRule="auto" w:line="360"/>
        <w:ind w:firstLine="567"/>
        <w:jc w:val="left"/>
        <w:rPr/>
      </w:pPr>
      <w:bookmarkStart w:id="5" w:name="_Hlk142935060"/>
      <w:bookmarkEnd w:id="5"/>
      <w:r>
        <w:rPr>
          <w:rFonts w:cs="Times New Roman" w:ascii="Times New Roman" w:hAnsi="Times New Roman"/>
          <w:szCs w:val="24"/>
        </w:rPr>
        <w:t>Prin</w:t>
      </w:r>
      <w:r>
        <w:rPr>
          <w:rFonts w:cs="Times New Roman" w:ascii="Times New Roman" w:hAnsi="Times New Roman"/>
          <w:spacing w:val="3"/>
          <w:szCs w:val="24"/>
        </w:rPr>
        <w:t xml:space="preserve"> </w:t>
      </w:r>
      <w:r>
        <w:rPr>
          <w:rFonts w:cs="Times New Roman" w:ascii="Times New Roman" w:hAnsi="Times New Roman"/>
          <w:szCs w:val="24"/>
        </w:rPr>
        <w:t>amenajamentul</w:t>
      </w:r>
      <w:r>
        <w:rPr>
          <w:rFonts w:cs="Times New Roman" w:ascii="Times New Roman" w:hAnsi="Times New Roman"/>
          <w:spacing w:val="51"/>
          <w:szCs w:val="24"/>
        </w:rPr>
        <w:t xml:space="preserve"> </w:t>
      </w:r>
      <w:r>
        <w:rPr>
          <w:rFonts w:cs="Times New Roman" w:ascii="Times New Roman" w:hAnsi="Times New Roman"/>
          <w:szCs w:val="24"/>
        </w:rPr>
        <w:t>U.P.</w:t>
      </w:r>
      <w:r>
        <w:rPr>
          <w:rFonts w:cs="Times New Roman" w:ascii="Times New Roman" w:hAnsi="Times New Roman"/>
          <w:spacing w:val="65"/>
          <w:szCs w:val="24"/>
        </w:rPr>
        <w:t xml:space="preserve"> </w:t>
      </w:r>
      <w:r>
        <w:rPr>
          <w:rFonts w:cs="Times New Roman" w:ascii="Times New Roman" w:hAnsi="Times New Roman"/>
        </w:rPr>
        <w:t>IV Hășmaș</w:t>
      </w:r>
      <w:r>
        <w:rPr>
          <w:rFonts w:cs="Times New Roman" w:ascii="Times New Roman" w:hAnsi="Times New Roman"/>
          <w:szCs w:val="24"/>
        </w:rPr>
        <w:t>,</w:t>
      </w:r>
      <w:r>
        <w:rPr>
          <w:rFonts w:cs="Times New Roman" w:ascii="Times New Roman" w:hAnsi="Times New Roman"/>
          <w:spacing w:val="65"/>
          <w:szCs w:val="24"/>
        </w:rPr>
        <w:t xml:space="preserve"> </w:t>
      </w:r>
      <w:r>
        <w:rPr>
          <w:rFonts w:cs="Times New Roman" w:ascii="Times New Roman" w:hAnsi="Times New Roman"/>
          <w:szCs w:val="24"/>
        </w:rPr>
        <w:t>pe</w:t>
      </w:r>
      <w:r>
        <w:rPr>
          <w:rFonts w:cs="Times New Roman" w:ascii="Times New Roman" w:hAnsi="Times New Roman"/>
          <w:spacing w:val="61"/>
          <w:szCs w:val="24"/>
        </w:rPr>
        <w:t xml:space="preserve"> </w:t>
      </w:r>
      <w:r>
        <w:rPr>
          <w:rFonts w:cs="Times New Roman" w:ascii="Times New Roman" w:hAnsi="Times New Roman"/>
          <w:szCs w:val="24"/>
        </w:rPr>
        <w:t>perioada</w:t>
      </w:r>
      <w:r>
        <w:rPr>
          <w:rFonts w:cs="Times New Roman" w:ascii="Times New Roman" w:hAnsi="Times New Roman"/>
          <w:spacing w:val="62"/>
          <w:szCs w:val="24"/>
        </w:rPr>
        <w:t xml:space="preserve"> </w:t>
      </w:r>
      <w:r>
        <w:rPr>
          <w:rFonts w:cs="Times New Roman" w:ascii="Times New Roman" w:hAnsi="Times New Roman"/>
          <w:szCs w:val="24"/>
        </w:rPr>
        <w:t>de</w:t>
      </w:r>
      <w:r>
        <w:rPr>
          <w:rFonts w:cs="Times New Roman" w:ascii="Times New Roman" w:hAnsi="Times New Roman"/>
          <w:spacing w:val="65"/>
          <w:szCs w:val="24"/>
        </w:rPr>
        <w:t xml:space="preserve"> </w:t>
      </w:r>
      <w:r>
        <w:rPr>
          <w:rFonts w:cs="Times New Roman" w:ascii="Times New Roman" w:hAnsi="Times New Roman"/>
          <w:szCs w:val="24"/>
        </w:rPr>
        <w:t>valabilitate</w:t>
      </w:r>
      <w:r>
        <w:rPr>
          <w:rFonts w:cs="Times New Roman" w:ascii="Times New Roman" w:hAnsi="Times New Roman"/>
          <w:spacing w:val="62"/>
          <w:szCs w:val="24"/>
        </w:rPr>
        <w:t xml:space="preserve"> </w:t>
      </w:r>
      <w:r>
        <w:rPr>
          <w:rFonts w:cs="Times New Roman" w:ascii="Times New Roman" w:hAnsi="Times New Roman"/>
          <w:szCs w:val="24"/>
        </w:rPr>
        <w:t>a</w:t>
      </w:r>
      <w:r>
        <w:rPr>
          <w:rFonts w:cs="Times New Roman" w:ascii="Times New Roman" w:hAnsi="Times New Roman"/>
          <w:spacing w:val="62"/>
          <w:szCs w:val="24"/>
        </w:rPr>
        <w:t xml:space="preserve"> </w:t>
      </w:r>
      <w:r>
        <w:rPr>
          <w:rFonts w:cs="Times New Roman" w:ascii="Times New Roman" w:hAnsi="Times New Roman"/>
          <w:szCs w:val="24"/>
        </w:rPr>
        <w:t>acestuia,</w:t>
      </w:r>
      <w:r>
        <w:rPr>
          <w:rFonts w:cs="Times New Roman" w:ascii="Times New Roman" w:hAnsi="Times New Roman"/>
          <w:spacing w:val="64"/>
          <w:szCs w:val="24"/>
        </w:rPr>
        <w:t xml:space="preserve"> </w:t>
      </w:r>
      <w:r>
        <w:rPr>
          <w:rFonts w:cs="Times New Roman" w:ascii="Times New Roman" w:hAnsi="Times New Roman"/>
          <w:szCs w:val="24"/>
        </w:rPr>
        <w:t>s-au</w:t>
      </w:r>
      <w:r>
        <w:rPr>
          <w:rFonts w:cs="Times New Roman" w:ascii="Times New Roman" w:hAnsi="Times New Roman"/>
          <w:spacing w:val="62"/>
          <w:szCs w:val="24"/>
        </w:rPr>
        <w:t xml:space="preserve"> </w:t>
      </w:r>
      <w:r>
        <w:rPr>
          <w:rFonts w:cs="Times New Roman" w:ascii="Times New Roman" w:hAnsi="Times New Roman"/>
          <w:szCs w:val="24"/>
        </w:rPr>
        <w:t>propus următoarele</w:t>
      </w:r>
      <w:r>
        <w:rPr>
          <w:rFonts w:cs="Times New Roman" w:ascii="Times New Roman" w:hAnsi="Times New Roman"/>
          <w:spacing w:val="-1"/>
          <w:szCs w:val="24"/>
        </w:rPr>
        <w:t xml:space="preserve"> </w:t>
      </w:r>
      <w:r>
        <w:rPr>
          <w:rFonts w:cs="Times New Roman" w:ascii="Times New Roman" w:hAnsi="Times New Roman"/>
          <w:szCs w:val="24"/>
        </w:rPr>
        <w:t>lucrări:</w:t>
      </w:r>
    </w:p>
    <w:p>
      <w:pPr>
        <w:pStyle w:val="Listparagraf"/>
        <w:widowControl w:val="false"/>
        <w:numPr>
          <w:ilvl w:val="0"/>
          <w:numId w:val="4"/>
        </w:numPr>
        <w:tabs>
          <w:tab w:val="clear" w:pos="720"/>
          <w:tab w:val="left" w:pos="1139" w:leader="none"/>
        </w:tabs>
        <w:spacing w:lineRule="auto" w:line="360"/>
        <w:ind w:left="0" w:right="238" w:firstLine="567"/>
        <w:jc w:val="both"/>
        <w:rPr/>
      </w:pPr>
      <w:r>
        <w:rPr>
          <w:sz w:val="24"/>
          <w:szCs w:val="24"/>
        </w:rPr>
        <w:t>degajări: 4,35 ha/an;</w:t>
      </w:r>
    </w:p>
    <w:p>
      <w:pPr>
        <w:pStyle w:val="Listparagraf"/>
        <w:widowControl w:val="false"/>
        <w:numPr>
          <w:ilvl w:val="0"/>
          <w:numId w:val="4"/>
        </w:numPr>
        <w:tabs>
          <w:tab w:val="clear" w:pos="720"/>
          <w:tab w:val="left" w:pos="1139" w:leader="none"/>
        </w:tabs>
        <w:spacing w:lineRule="auto" w:line="360"/>
        <w:ind w:left="0" w:right="238" w:firstLine="567"/>
        <w:jc w:val="both"/>
        <w:rPr/>
      </w:pPr>
      <w:r>
        <w:rPr>
          <w:sz w:val="24"/>
          <w:szCs w:val="24"/>
        </w:rPr>
        <w:t>curăţiri: 0,93 ha/an, cu un volum de  recoltat de 7 m</w:t>
      </w:r>
      <w:r>
        <w:rPr>
          <w:sz w:val="24"/>
          <w:szCs w:val="24"/>
          <w:vertAlign w:val="superscript"/>
        </w:rPr>
        <w:t>3</w:t>
      </w:r>
      <w:r>
        <w:rPr>
          <w:sz w:val="24"/>
          <w:szCs w:val="24"/>
        </w:rPr>
        <w:t>/an;</w:t>
      </w:r>
    </w:p>
    <w:p>
      <w:pPr>
        <w:pStyle w:val="Listparagraf"/>
        <w:widowControl w:val="false"/>
        <w:numPr>
          <w:ilvl w:val="0"/>
          <w:numId w:val="4"/>
        </w:numPr>
        <w:tabs>
          <w:tab w:val="clear" w:pos="720"/>
          <w:tab w:val="left" w:pos="1139" w:leader="none"/>
        </w:tabs>
        <w:spacing w:lineRule="auto" w:line="360"/>
        <w:ind w:left="0" w:right="234" w:firstLine="567"/>
        <w:jc w:val="both"/>
        <w:rPr/>
      </w:pPr>
      <w:r>
        <w:rPr>
          <w:sz w:val="24"/>
          <w:szCs w:val="24"/>
        </w:rPr>
        <w:t>rărituri: 108,31 ha/an, cu un volum de recoltat de 3536 m</w:t>
      </w:r>
      <w:r>
        <w:rPr>
          <w:sz w:val="24"/>
          <w:szCs w:val="24"/>
          <w:vertAlign w:val="superscript"/>
        </w:rPr>
        <w:t>3</w:t>
      </w:r>
      <w:r>
        <w:rPr>
          <w:sz w:val="24"/>
          <w:szCs w:val="24"/>
        </w:rPr>
        <w:t>/an;</w:t>
      </w:r>
    </w:p>
    <w:p>
      <w:pPr>
        <w:pStyle w:val="Listparagraf"/>
        <w:widowControl w:val="false"/>
        <w:numPr>
          <w:ilvl w:val="0"/>
          <w:numId w:val="4"/>
        </w:numPr>
        <w:tabs>
          <w:tab w:val="clear" w:pos="720"/>
          <w:tab w:val="left" w:pos="1139" w:leader="none"/>
        </w:tabs>
        <w:spacing w:lineRule="auto" w:line="360"/>
        <w:ind w:left="0" w:right="238" w:firstLine="567"/>
        <w:jc w:val="both"/>
        <w:rPr>
          <w:sz w:val="24"/>
          <w:szCs w:val="24"/>
        </w:rPr>
      </w:pPr>
      <w:r>
        <w:rPr>
          <w:sz w:val="24"/>
          <w:szCs w:val="24"/>
        </w:rPr>
        <w:t>tăieri progresive: 8,50 ha/an, cu un volum de recoltat de 1278 m</w:t>
      </w:r>
      <w:r>
        <w:rPr>
          <w:sz w:val="24"/>
          <w:szCs w:val="24"/>
          <w:vertAlign w:val="superscript"/>
        </w:rPr>
        <w:t>3</w:t>
      </w:r>
      <w:r>
        <w:rPr>
          <w:sz w:val="24"/>
          <w:szCs w:val="24"/>
        </w:rPr>
        <w:t>/an;</w:t>
      </w:r>
    </w:p>
    <w:p>
      <w:pPr>
        <w:pStyle w:val="Listparagraf"/>
        <w:widowControl w:val="false"/>
        <w:numPr>
          <w:ilvl w:val="0"/>
          <w:numId w:val="4"/>
        </w:numPr>
        <w:tabs>
          <w:tab w:val="clear" w:pos="720"/>
          <w:tab w:val="left" w:pos="1139" w:leader="none"/>
        </w:tabs>
        <w:spacing w:lineRule="auto" w:line="360"/>
        <w:ind w:left="0" w:right="238" w:firstLine="567"/>
        <w:jc w:val="both"/>
        <w:rPr/>
      </w:pPr>
      <w:r>
        <w:rPr>
          <w:sz w:val="24"/>
          <w:szCs w:val="24"/>
        </w:rPr>
        <w:t>tăieri rase: 1,87 ha/an, cu un volum de recoltare de 231 m</w:t>
      </w:r>
      <w:r>
        <w:rPr>
          <w:sz w:val="24"/>
          <w:szCs w:val="24"/>
          <w:vertAlign w:val="superscript"/>
        </w:rPr>
        <w:t>3</w:t>
      </w:r>
      <w:r>
        <w:rPr>
          <w:sz w:val="24"/>
          <w:szCs w:val="24"/>
        </w:rPr>
        <w:t>/an;</w:t>
      </w:r>
    </w:p>
    <w:p>
      <w:pPr>
        <w:pStyle w:val="Listparagraf"/>
        <w:widowControl w:val="false"/>
        <w:numPr>
          <w:ilvl w:val="1"/>
          <w:numId w:val="7"/>
        </w:numPr>
        <w:tabs>
          <w:tab w:val="clear" w:pos="720"/>
          <w:tab w:val="left" w:pos="1139" w:leader="none"/>
        </w:tabs>
        <w:spacing w:lineRule="auto" w:line="360"/>
        <w:ind w:left="0" w:right="243" w:firstLine="567"/>
        <w:jc w:val="both"/>
        <w:rPr/>
      </w:pPr>
      <w:r>
        <w:rPr>
          <w:sz w:val="24"/>
          <w:szCs w:val="24"/>
        </w:rPr>
        <w:t>lucrări de conservare: 3,53 ha/an, cu un volum maxim de  recoltat 115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34" w:firstLine="567"/>
        <w:jc w:val="both"/>
        <w:rPr/>
      </w:pPr>
      <w:r>
        <w:rPr>
          <w:sz w:val="24"/>
          <w:szCs w:val="24"/>
        </w:rPr>
        <w:t>tăieri de igienă: 540,5 ha/an, cu un volum de recoltat  de 467 m</w:t>
      </w:r>
      <w:r>
        <w:rPr>
          <w:sz w:val="24"/>
          <w:szCs w:val="24"/>
          <w:vertAlign w:val="superscript"/>
        </w:rPr>
        <w:t>3</w:t>
      </w:r>
      <w:r>
        <w:rPr>
          <w:sz w:val="24"/>
          <w:szCs w:val="24"/>
        </w:rPr>
        <w:t>/an;</w:t>
      </w:r>
    </w:p>
    <w:p>
      <w:pPr>
        <w:pStyle w:val="Normal"/>
        <w:widowControl w:val="false"/>
        <w:numPr>
          <w:ilvl w:val="0"/>
          <w:numId w:val="7"/>
        </w:numPr>
        <w:tabs>
          <w:tab w:val="clear" w:pos="720"/>
          <w:tab w:val="left" w:pos="1139" w:leader="none"/>
        </w:tabs>
        <w:spacing w:before="0" w:after="0"/>
        <w:ind w:left="0" w:firstLine="567"/>
        <w:contextualSpacing/>
        <w:jc w:val="both"/>
        <w:rPr/>
      </w:pPr>
      <w:r>
        <w:rPr/>
        <w:t>împăduriri: 3,78 ha/an.</w:t>
      </w:r>
      <w:bookmarkStart w:id="6" w:name="_Hlk158896722"/>
      <w:bookmarkEnd w:id="6"/>
    </w:p>
    <w:p>
      <w:pPr>
        <w:pStyle w:val="Normal"/>
        <w:ind w:hanging="142"/>
        <w:jc w:val="center"/>
        <w:rPr>
          <w:rFonts w:ascii="Times New Roman" w:hAnsi="Times New Roman" w:eastAsia="Times New Roman" w:cs="Times New Roman"/>
          <w:color w:val="000000"/>
          <w:kern w:val="0"/>
          <w:sz w:val="24"/>
          <w:szCs w:val="24"/>
          <w:lang w:val="ro-RO" w:eastAsia="zh-CN" w:bidi="ar-SA"/>
        </w:rPr>
      </w:pPr>
      <w:r>
        <w:rPr>
          <w:rFonts w:eastAsia="Times New Roman" w:cs="Times New Roman"/>
          <w:color w:val="000000"/>
          <w:kern w:val="0"/>
          <w:sz w:val="24"/>
          <w:szCs w:val="24"/>
          <w:lang w:val="ro-RO" w:eastAsia="zh-CN" w:bidi="ar-SA"/>
        </w:rPr>
        <w:t>Descrierea PP și distanța față de ANPIC</w:t>
      </w:r>
    </w:p>
    <w:p>
      <w:pPr>
        <w:pStyle w:val="Normal"/>
        <w:ind w:hanging="142"/>
        <w:jc w:val="center"/>
        <w:rPr>
          <w:color w:val="000000"/>
        </w:rPr>
      </w:pPr>
      <w:r>
        <w:rPr>
          <w:color w:val="000000"/>
        </w:rPr>
      </w:r>
    </w:p>
    <w:p>
      <w:pPr>
        <w:pStyle w:val="Normal"/>
        <w:ind w:hanging="142"/>
        <w:jc w:val="right"/>
        <w:rPr/>
      </w:pPr>
      <w:r>
        <w:rPr>
          <w:color w:val="000000"/>
        </w:rPr>
        <w:t xml:space="preserve">                                                                                                                       </w:t>
      </w:r>
      <w:r>
        <w:rPr>
          <w:color w:val="000000"/>
        </w:rPr>
        <w:t xml:space="preserve">Tabelul </w:t>
      </w:r>
      <w:r>
        <w:rPr>
          <w:rFonts w:eastAsia="Times New Roman" w:cs="Times New Roman"/>
          <w:color w:val="000000"/>
          <w:kern w:val="0"/>
          <w:sz w:val="24"/>
          <w:szCs w:val="24"/>
          <w:lang w:val="ro-RO" w:eastAsia="zh-CN" w:bidi="ar-SA"/>
        </w:rPr>
        <w:t>nr.1</w:t>
      </w:r>
    </w:p>
    <w:tbl>
      <w:tblPr>
        <w:tblW w:w="5000" w:type="pct"/>
        <w:jc w:val="center"/>
        <w:tblInd w:w="0" w:type="dxa"/>
        <w:tblCellMar>
          <w:top w:w="0" w:type="dxa"/>
          <w:left w:w="108" w:type="dxa"/>
          <w:bottom w:w="0" w:type="dxa"/>
          <w:right w:w="108" w:type="dxa"/>
        </w:tblCellMar>
        <w:tblLook w:firstRow="1" w:noVBand="1" w:lastRow="0" w:firstColumn="1" w:lastColumn="0" w:noHBand="0" w:val="04a0"/>
      </w:tblPr>
      <w:tblGrid>
        <w:gridCol w:w="514"/>
        <w:gridCol w:w="974"/>
        <w:gridCol w:w="3466"/>
        <w:gridCol w:w="1667"/>
        <w:gridCol w:w="835"/>
        <w:gridCol w:w="2187"/>
      </w:tblGrid>
      <w:tr>
        <w:trPr/>
        <w:tc>
          <w:tcPr>
            <w:tcW w:w="514"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bookmarkStart w:id="7" w:name="_Hlk145580268"/>
            <w:bookmarkStart w:id="8" w:name="_Hlk158969055"/>
            <w:bookmarkEnd w:id="7"/>
            <w:bookmarkEnd w:id="8"/>
            <w:r>
              <w:rPr>
                <w:b/>
                <w:bCs/>
                <w:sz w:val="16"/>
                <w:szCs w:val="16"/>
              </w:rPr>
              <w:t>Nr. crt</w:t>
            </w:r>
          </w:p>
        </w:tc>
        <w:tc>
          <w:tcPr>
            <w:tcW w:w="974" w:type="dxa"/>
            <w:tcBorders>
              <w:top w:val="single" w:sz="4" w:space="0" w:color="000000"/>
              <w:left w:val="single" w:sz="4" w:space="0" w:color="000000"/>
              <w:bottom w:val="single" w:sz="4" w:space="0" w:color="000000"/>
            </w:tcBorders>
            <w:vAlign w:val="center"/>
          </w:tcPr>
          <w:p>
            <w:pPr>
              <w:pStyle w:val="Normal"/>
              <w:ind w:left="-109" w:right="-108" w:hanging="0"/>
              <w:jc w:val="center"/>
              <w:rPr>
                <w:b/>
                <w:b/>
                <w:bCs/>
                <w:sz w:val="16"/>
                <w:szCs w:val="16"/>
              </w:rPr>
            </w:pPr>
            <w:r>
              <w:rPr>
                <w:b/>
                <w:bCs/>
                <w:sz w:val="16"/>
                <w:szCs w:val="16"/>
              </w:rPr>
              <w:t>Tip de intervenție</w:t>
            </w:r>
          </w:p>
        </w:tc>
        <w:tc>
          <w:tcPr>
            <w:tcW w:w="3466"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Descrierea intervențiilor principale/secundare</w:t>
            </w:r>
          </w:p>
        </w:tc>
        <w:tc>
          <w:tcPr>
            <w:tcW w:w="1667"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r>
          </w:p>
          <w:p>
            <w:pPr>
              <w:pStyle w:val="Normal"/>
              <w:jc w:val="center"/>
              <w:rPr>
                <w:b/>
                <w:b/>
                <w:bCs/>
                <w:sz w:val="16"/>
                <w:szCs w:val="16"/>
              </w:rPr>
            </w:pPr>
            <w:r>
              <w:rPr>
                <w:b/>
                <w:bCs/>
                <w:sz w:val="16"/>
                <w:szCs w:val="16"/>
              </w:rPr>
              <w:t>u.a.</w:t>
            </w:r>
          </w:p>
        </w:tc>
        <w:tc>
          <w:tcPr>
            <w:tcW w:w="835" w:type="dxa"/>
            <w:tcBorders>
              <w:top w:val="single" w:sz="4" w:space="0" w:color="000000"/>
              <w:left w:val="single" w:sz="4" w:space="0" w:color="000000"/>
              <w:bottom w:val="single" w:sz="4" w:space="0" w:color="000000"/>
            </w:tcBorders>
            <w:vAlign w:val="center"/>
          </w:tcPr>
          <w:p>
            <w:pPr>
              <w:pStyle w:val="Normal"/>
              <w:ind w:left="-108" w:right="-107" w:hanging="0"/>
              <w:jc w:val="center"/>
              <w:rPr>
                <w:b/>
                <w:b/>
                <w:bCs/>
                <w:sz w:val="16"/>
                <w:szCs w:val="16"/>
              </w:rPr>
            </w:pPr>
            <w:r>
              <w:rPr>
                <w:b/>
                <w:bCs/>
                <w:sz w:val="16"/>
                <w:szCs w:val="16"/>
              </w:rPr>
              <w:t xml:space="preserve">Suprafață </w:t>
            </w:r>
          </w:p>
          <w:p>
            <w:pPr>
              <w:pStyle w:val="Normal"/>
              <w:ind w:left="-108" w:right="-107" w:hanging="0"/>
              <w:jc w:val="center"/>
              <w:rPr>
                <w:b/>
                <w:b/>
                <w:bCs/>
                <w:sz w:val="16"/>
                <w:szCs w:val="16"/>
              </w:rPr>
            </w:pPr>
            <w:r>
              <w:rPr>
                <w:b/>
                <w:bCs/>
                <w:sz w:val="16"/>
                <w:szCs w:val="16"/>
              </w:rPr>
              <w:t>(ha)</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sz w:val="16"/>
                <w:szCs w:val="16"/>
              </w:rPr>
            </w:pPr>
            <w:r>
              <w:rPr>
                <w:b/>
                <w:bCs/>
                <w:sz w:val="16"/>
                <w:szCs w:val="16"/>
              </w:rPr>
              <w:t>Localizare față de ANPIC (distanța)</w:t>
            </w:r>
          </w:p>
        </w:tc>
      </w:tr>
      <w:tr>
        <w:trPr>
          <w:trHeight w:val="2516"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1</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Degajări</w:t>
            </w:r>
          </w:p>
        </w:tc>
        <w:tc>
          <w:tcPr>
            <w:tcW w:w="3466" w:type="dxa"/>
            <w:tcBorders>
              <w:top w:val="single" w:sz="4" w:space="0" w:color="000000"/>
              <w:left w:val="single" w:sz="4" w:space="0" w:color="000000"/>
              <w:bottom w:val="single" w:sz="4" w:space="0" w:color="000000"/>
            </w:tcBorders>
          </w:tcPr>
          <w:p>
            <w:pPr>
              <w:pStyle w:val="TableParagraph"/>
              <w:ind w:left="13" w:right="-29" w:hanging="0"/>
              <w:jc w:val="both"/>
              <w:rPr/>
            </w:pPr>
            <w:r>
              <w:rPr>
                <w:color w:val="000000"/>
                <w:sz w:val="18"/>
              </w:rPr>
              <w:t>Prin</w:t>
            </w:r>
            <w:r>
              <w:rPr>
                <w:color w:val="000000"/>
                <w:spacing w:val="1"/>
                <w:sz w:val="18"/>
              </w:rPr>
              <w:t xml:space="preserve"> </w:t>
            </w:r>
            <w:r>
              <w:rPr>
                <w:color w:val="000000"/>
                <w:sz w:val="18"/>
              </w:rPr>
              <w:t>degajare</w:t>
            </w:r>
            <w:r>
              <w:rPr>
                <w:color w:val="000000"/>
                <w:spacing w:val="1"/>
                <w:sz w:val="18"/>
              </w:rPr>
              <w:t xml:space="preserve"> </w:t>
            </w:r>
            <w:r>
              <w:rPr>
                <w:color w:val="000000"/>
                <w:sz w:val="18"/>
              </w:rPr>
              <w:t>se</w:t>
            </w:r>
            <w:r>
              <w:rPr>
                <w:color w:val="000000"/>
                <w:spacing w:val="1"/>
                <w:sz w:val="18"/>
              </w:rPr>
              <w:t xml:space="preserve"> </w:t>
            </w:r>
            <w:r>
              <w:rPr>
                <w:color w:val="000000"/>
                <w:sz w:val="18"/>
              </w:rPr>
              <w:t>înţelege</w:t>
            </w:r>
            <w:r>
              <w:rPr>
                <w:color w:val="000000"/>
                <w:spacing w:val="1"/>
                <w:sz w:val="18"/>
              </w:rPr>
              <w:t xml:space="preserve"> </w:t>
            </w:r>
            <w:r>
              <w:rPr>
                <w:color w:val="000000"/>
                <w:sz w:val="18"/>
              </w:rPr>
              <w:t>lucrarea</w:t>
            </w:r>
            <w:r>
              <w:rPr>
                <w:color w:val="000000"/>
                <w:spacing w:val="1"/>
                <w:sz w:val="18"/>
              </w:rPr>
              <w:t xml:space="preserve"> </w:t>
            </w:r>
            <w:r>
              <w:rPr>
                <w:color w:val="000000"/>
                <w:sz w:val="18"/>
              </w:rPr>
              <w:t>de</w:t>
            </w:r>
            <w:r>
              <w:rPr>
                <w:color w:val="000000"/>
                <w:spacing w:val="1"/>
                <w:sz w:val="18"/>
              </w:rPr>
              <w:t xml:space="preserve"> </w:t>
            </w:r>
            <w:r>
              <w:rPr>
                <w:color w:val="000000"/>
                <w:sz w:val="18"/>
              </w:rPr>
              <w:t>îngrijire</w:t>
            </w:r>
            <w:r>
              <w:rPr>
                <w:color w:val="000000"/>
                <w:spacing w:val="-42"/>
                <w:sz w:val="18"/>
              </w:rPr>
              <w:t xml:space="preserve"> </w:t>
            </w:r>
            <w:r>
              <w:rPr>
                <w:color w:val="000000"/>
                <w:sz w:val="18"/>
              </w:rPr>
              <w:t>efectuată în stadiul desiş, uneori şi în stadiul de</w:t>
            </w:r>
            <w:r>
              <w:rPr>
                <w:color w:val="000000"/>
                <w:spacing w:val="1"/>
                <w:sz w:val="18"/>
              </w:rPr>
              <w:t xml:space="preserve"> </w:t>
            </w:r>
            <w:r>
              <w:rPr>
                <w:color w:val="000000"/>
                <w:sz w:val="18"/>
              </w:rPr>
              <w:t>seminţiş,</w:t>
            </w:r>
            <w:r>
              <w:rPr>
                <w:color w:val="000000"/>
                <w:spacing w:val="1"/>
                <w:sz w:val="18"/>
              </w:rPr>
              <w:t xml:space="preserve"> </w:t>
            </w:r>
            <w:r>
              <w:rPr>
                <w:color w:val="000000"/>
                <w:sz w:val="18"/>
              </w:rPr>
              <w:t>prin</w:t>
            </w:r>
            <w:r>
              <w:rPr>
                <w:color w:val="000000"/>
                <w:spacing w:val="1"/>
                <w:sz w:val="18"/>
              </w:rPr>
              <w:t xml:space="preserve"> </w:t>
            </w:r>
            <w:r>
              <w:rPr>
                <w:color w:val="000000"/>
                <w:sz w:val="18"/>
              </w:rPr>
              <w:t>care</w:t>
            </w:r>
            <w:r>
              <w:rPr>
                <w:color w:val="000000"/>
                <w:spacing w:val="1"/>
                <w:sz w:val="18"/>
              </w:rPr>
              <w:t xml:space="preserve"> </w:t>
            </w:r>
            <w:r>
              <w:rPr>
                <w:color w:val="000000"/>
                <w:sz w:val="18"/>
              </w:rPr>
              <w:t>se</w:t>
            </w:r>
            <w:r>
              <w:rPr>
                <w:color w:val="000000"/>
                <w:spacing w:val="1"/>
                <w:sz w:val="18"/>
              </w:rPr>
              <w:t xml:space="preserve"> </w:t>
            </w:r>
            <w:r>
              <w:rPr>
                <w:color w:val="000000"/>
                <w:sz w:val="18"/>
              </w:rPr>
              <w:t>urmăreşte</w:t>
            </w:r>
            <w:r>
              <w:rPr>
                <w:color w:val="000000"/>
                <w:spacing w:val="1"/>
                <w:sz w:val="18"/>
              </w:rPr>
              <w:t xml:space="preserve"> </w:t>
            </w:r>
            <w:r>
              <w:rPr>
                <w:color w:val="000000"/>
                <w:sz w:val="18"/>
              </w:rPr>
              <w:t>apărarea</w:t>
            </w:r>
            <w:r>
              <w:rPr>
                <w:color w:val="000000"/>
                <w:spacing w:val="1"/>
                <w:sz w:val="18"/>
              </w:rPr>
              <w:t xml:space="preserve"> </w:t>
            </w:r>
            <w:r>
              <w:rPr>
                <w:color w:val="000000"/>
                <w:sz w:val="18"/>
              </w:rPr>
              <w:t>speciilor</w:t>
            </w:r>
            <w:r>
              <w:rPr>
                <w:color w:val="000000"/>
                <w:spacing w:val="1"/>
                <w:sz w:val="18"/>
              </w:rPr>
              <w:t xml:space="preserve"> </w:t>
            </w:r>
            <w:r>
              <w:rPr>
                <w:color w:val="000000"/>
                <w:sz w:val="18"/>
              </w:rPr>
              <w:t>principale</w:t>
            </w:r>
            <w:r>
              <w:rPr>
                <w:color w:val="000000"/>
                <w:spacing w:val="1"/>
                <w:sz w:val="18"/>
              </w:rPr>
              <w:t xml:space="preserve"> </w:t>
            </w:r>
            <w:r>
              <w:rPr>
                <w:color w:val="000000"/>
                <w:sz w:val="18"/>
              </w:rPr>
              <w:t>valoroase</w:t>
            </w:r>
            <w:r>
              <w:rPr>
                <w:color w:val="000000"/>
                <w:spacing w:val="46"/>
                <w:sz w:val="18"/>
              </w:rPr>
              <w:t xml:space="preserve"> </w:t>
            </w:r>
            <w:r>
              <w:rPr>
                <w:color w:val="000000"/>
                <w:sz w:val="18"/>
              </w:rPr>
              <w:t>împotriva</w:t>
            </w:r>
            <w:r>
              <w:rPr>
                <w:color w:val="000000"/>
                <w:spacing w:val="1"/>
                <w:sz w:val="18"/>
              </w:rPr>
              <w:t xml:space="preserve"> </w:t>
            </w:r>
            <w:r>
              <w:rPr>
                <w:color w:val="000000"/>
                <w:sz w:val="18"/>
              </w:rPr>
              <w:t>speciilor</w:t>
            </w:r>
            <w:r>
              <w:rPr>
                <w:color w:val="000000"/>
                <w:spacing w:val="1"/>
                <w:sz w:val="18"/>
              </w:rPr>
              <w:t xml:space="preserve"> </w:t>
            </w:r>
            <w:r>
              <w:rPr>
                <w:color w:val="000000"/>
                <w:sz w:val="18"/>
              </w:rPr>
              <w:t>secundare</w:t>
            </w:r>
            <w:r>
              <w:rPr>
                <w:color w:val="000000"/>
                <w:spacing w:val="1"/>
                <w:sz w:val="18"/>
              </w:rPr>
              <w:t xml:space="preserve"> </w:t>
            </w:r>
            <w:r>
              <w:rPr>
                <w:color w:val="000000"/>
                <w:sz w:val="18"/>
              </w:rPr>
              <w:t>copleşitoare sau de</w:t>
            </w:r>
            <w:r>
              <w:rPr>
                <w:color w:val="000000"/>
                <w:spacing w:val="1"/>
                <w:sz w:val="18"/>
              </w:rPr>
              <w:t xml:space="preserve"> </w:t>
            </w:r>
            <w:r>
              <w:rPr>
                <w:color w:val="000000"/>
                <w:sz w:val="18"/>
              </w:rPr>
              <w:t>o altă</w:t>
            </w:r>
            <w:r>
              <w:rPr>
                <w:color w:val="000000"/>
                <w:spacing w:val="1"/>
                <w:sz w:val="18"/>
              </w:rPr>
              <w:t xml:space="preserve"> </w:t>
            </w:r>
            <w:r>
              <w:rPr>
                <w:color w:val="000000"/>
                <w:sz w:val="18"/>
              </w:rPr>
              <w:t>provenienţă,</w:t>
            </w:r>
            <w:r>
              <w:rPr>
                <w:color w:val="000000"/>
                <w:spacing w:val="2"/>
                <w:sz w:val="18"/>
              </w:rPr>
              <w:t xml:space="preserve"> </w:t>
            </w:r>
            <w:r>
              <w:rPr>
                <w:color w:val="000000"/>
                <w:sz w:val="18"/>
              </w:rPr>
              <w:t>considerată</w:t>
            </w:r>
            <w:r>
              <w:rPr>
                <w:color w:val="000000"/>
                <w:spacing w:val="1"/>
                <w:sz w:val="18"/>
              </w:rPr>
              <w:t xml:space="preserve"> </w:t>
            </w:r>
            <w:r>
              <w:rPr>
                <w:color w:val="000000"/>
                <w:sz w:val="18"/>
              </w:rPr>
              <w:t>necorespunzătoare.</w:t>
            </w:r>
          </w:p>
          <w:p>
            <w:pPr>
              <w:pStyle w:val="TableParagraph"/>
              <w:ind w:left="13" w:right="-29" w:hanging="0"/>
              <w:jc w:val="both"/>
              <w:rPr/>
            </w:pPr>
            <w:r>
              <w:rPr>
                <w:color w:val="000000"/>
                <w:sz w:val="18"/>
              </w:rPr>
              <w:t>Perioada</w:t>
            </w:r>
            <w:r>
              <w:rPr>
                <w:color w:val="000000"/>
                <w:spacing w:val="1"/>
                <w:sz w:val="18"/>
              </w:rPr>
              <w:t xml:space="preserve"> </w:t>
            </w:r>
            <w:r>
              <w:rPr>
                <w:color w:val="000000"/>
                <w:sz w:val="18"/>
              </w:rPr>
              <w:t>normală</w:t>
            </w:r>
            <w:r>
              <w:rPr>
                <w:color w:val="000000"/>
                <w:spacing w:val="1"/>
                <w:sz w:val="18"/>
              </w:rPr>
              <w:t xml:space="preserve"> </w:t>
            </w:r>
            <w:r>
              <w:rPr>
                <w:color w:val="000000"/>
                <w:sz w:val="18"/>
              </w:rPr>
              <w:t>de</w:t>
            </w:r>
            <w:r>
              <w:rPr>
                <w:color w:val="000000"/>
                <w:spacing w:val="1"/>
                <w:sz w:val="18"/>
              </w:rPr>
              <w:t xml:space="preserve"> </w:t>
            </w:r>
            <w:r>
              <w:rPr>
                <w:color w:val="000000"/>
                <w:sz w:val="18"/>
              </w:rPr>
              <w:t>executare</w:t>
            </w:r>
            <w:r>
              <w:rPr>
                <w:color w:val="000000"/>
                <w:spacing w:val="1"/>
                <w:sz w:val="18"/>
              </w:rPr>
              <w:t xml:space="preserve"> </w:t>
            </w:r>
            <w:r>
              <w:rPr>
                <w:color w:val="000000"/>
                <w:sz w:val="18"/>
              </w:rPr>
              <w:t>a</w:t>
            </w:r>
            <w:r>
              <w:rPr>
                <w:color w:val="000000"/>
                <w:spacing w:val="1"/>
                <w:sz w:val="18"/>
              </w:rPr>
              <w:t xml:space="preserve"> </w:t>
            </w:r>
            <w:r>
              <w:rPr>
                <w:color w:val="000000"/>
                <w:sz w:val="18"/>
              </w:rPr>
              <w:t>degajărilor</w:t>
            </w:r>
            <w:r>
              <w:rPr>
                <w:color w:val="000000"/>
                <w:spacing w:val="1"/>
                <w:sz w:val="18"/>
              </w:rPr>
              <w:t xml:space="preserve"> </w:t>
            </w:r>
            <w:r>
              <w:rPr>
                <w:color w:val="000000"/>
                <w:sz w:val="18"/>
              </w:rPr>
              <w:t>corespunde intervalului cuprins între momentul</w:t>
            </w:r>
            <w:r>
              <w:rPr>
                <w:color w:val="000000"/>
                <w:spacing w:val="1"/>
                <w:sz w:val="18"/>
              </w:rPr>
              <w:t xml:space="preserve"> </w:t>
            </w:r>
            <w:r>
              <w:rPr>
                <w:color w:val="000000"/>
                <w:sz w:val="18"/>
              </w:rPr>
              <w:t>închiderii</w:t>
            </w:r>
            <w:r>
              <w:rPr>
                <w:color w:val="000000"/>
                <w:spacing w:val="1"/>
                <w:sz w:val="18"/>
              </w:rPr>
              <w:t xml:space="preserve"> </w:t>
            </w:r>
            <w:r>
              <w:rPr>
                <w:color w:val="000000"/>
                <w:sz w:val="18"/>
              </w:rPr>
              <w:t>stării</w:t>
            </w:r>
            <w:r>
              <w:rPr>
                <w:color w:val="000000"/>
                <w:spacing w:val="1"/>
                <w:sz w:val="18"/>
              </w:rPr>
              <w:t xml:space="preserve"> </w:t>
            </w:r>
            <w:r>
              <w:rPr>
                <w:color w:val="000000"/>
                <w:sz w:val="18"/>
              </w:rPr>
              <w:t>de</w:t>
            </w:r>
            <w:r>
              <w:rPr>
                <w:color w:val="000000"/>
                <w:spacing w:val="1"/>
                <w:sz w:val="18"/>
              </w:rPr>
              <w:t xml:space="preserve"> </w:t>
            </w:r>
            <w:r>
              <w:rPr>
                <w:color w:val="000000"/>
                <w:sz w:val="18"/>
              </w:rPr>
              <w:t>masiv,</w:t>
            </w:r>
            <w:r>
              <w:rPr>
                <w:color w:val="000000"/>
                <w:spacing w:val="1"/>
                <w:sz w:val="18"/>
              </w:rPr>
              <w:t xml:space="preserve"> </w:t>
            </w:r>
            <w:r>
              <w:rPr>
                <w:color w:val="000000"/>
                <w:sz w:val="18"/>
              </w:rPr>
              <w:t>când</w:t>
            </w:r>
            <w:r>
              <w:rPr>
                <w:color w:val="000000"/>
                <w:spacing w:val="1"/>
                <w:sz w:val="18"/>
              </w:rPr>
              <w:t xml:space="preserve"> </w:t>
            </w:r>
            <w:r>
              <w:rPr>
                <w:color w:val="000000"/>
                <w:sz w:val="18"/>
              </w:rPr>
              <w:t>se</w:t>
            </w:r>
            <w:r>
              <w:rPr>
                <w:color w:val="000000"/>
                <w:spacing w:val="1"/>
                <w:sz w:val="18"/>
              </w:rPr>
              <w:t xml:space="preserve"> </w:t>
            </w:r>
            <w:r>
              <w:rPr>
                <w:color w:val="000000"/>
                <w:sz w:val="18"/>
              </w:rPr>
              <w:t>realizează</w:t>
            </w:r>
            <w:r>
              <w:rPr>
                <w:color w:val="000000"/>
                <w:spacing w:val="1"/>
                <w:sz w:val="18"/>
              </w:rPr>
              <w:t xml:space="preserve"> </w:t>
            </w:r>
            <w:r>
              <w:rPr>
                <w:color w:val="000000"/>
                <w:sz w:val="18"/>
              </w:rPr>
              <w:t>creşterea</w:t>
            </w:r>
            <w:r>
              <w:rPr>
                <w:color w:val="000000"/>
                <w:spacing w:val="1"/>
                <w:sz w:val="18"/>
              </w:rPr>
              <w:t xml:space="preserve"> </w:t>
            </w:r>
            <w:r>
              <w:rPr>
                <w:color w:val="000000"/>
                <w:sz w:val="18"/>
              </w:rPr>
              <w:t>maximă</w:t>
            </w:r>
            <w:r>
              <w:rPr>
                <w:color w:val="000000"/>
                <w:spacing w:val="1"/>
                <w:sz w:val="18"/>
              </w:rPr>
              <w:t xml:space="preserve"> </w:t>
            </w:r>
            <w:r>
              <w:rPr>
                <w:color w:val="000000"/>
                <w:sz w:val="18"/>
              </w:rPr>
              <w:t>în</w:t>
            </w:r>
            <w:r>
              <w:rPr>
                <w:color w:val="000000"/>
                <w:spacing w:val="1"/>
                <w:sz w:val="18"/>
              </w:rPr>
              <w:t xml:space="preserve"> </w:t>
            </w:r>
            <w:r>
              <w:rPr>
                <w:color w:val="000000"/>
                <w:sz w:val="18"/>
              </w:rPr>
              <w:t>înălţime</w:t>
            </w:r>
            <w:r>
              <w:rPr>
                <w:color w:val="000000"/>
                <w:spacing w:val="1"/>
                <w:sz w:val="18"/>
              </w:rPr>
              <w:t xml:space="preserve"> </w:t>
            </w:r>
            <w:r>
              <w:rPr>
                <w:color w:val="000000"/>
                <w:sz w:val="18"/>
              </w:rPr>
              <w:t>şi</w:t>
            </w:r>
            <w:r>
              <w:rPr>
                <w:color w:val="000000"/>
                <w:spacing w:val="1"/>
                <w:sz w:val="18"/>
              </w:rPr>
              <w:t xml:space="preserve"> </w:t>
            </w:r>
            <w:r>
              <w:rPr>
                <w:color w:val="000000"/>
                <w:sz w:val="18"/>
              </w:rPr>
              <w:t>momentul</w:t>
            </w:r>
            <w:r>
              <w:rPr>
                <w:color w:val="000000"/>
                <w:spacing w:val="1"/>
                <w:sz w:val="18"/>
              </w:rPr>
              <w:t xml:space="preserve"> </w:t>
            </w:r>
            <w:r>
              <w:rPr>
                <w:color w:val="000000"/>
                <w:sz w:val="18"/>
              </w:rPr>
              <w:t>apariţiei</w:t>
            </w:r>
            <w:r>
              <w:rPr>
                <w:color w:val="000000"/>
                <w:spacing w:val="1"/>
                <w:sz w:val="18"/>
              </w:rPr>
              <w:t xml:space="preserve"> </w:t>
            </w:r>
            <w:r>
              <w:rPr>
                <w:color w:val="000000"/>
                <w:sz w:val="18"/>
              </w:rPr>
              <w:t>elagajului</w:t>
            </w:r>
            <w:r>
              <w:rPr>
                <w:color w:val="000000"/>
                <w:spacing w:val="1"/>
                <w:sz w:val="18"/>
              </w:rPr>
              <w:t xml:space="preserve"> </w:t>
            </w:r>
            <w:r>
              <w:rPr>
                <w:color w:val="000000"/>
                <w:sz w:val="18"/>
              </w:rPr>
              <w:t>natural</w:t>
            </w:r>
            <w:r>
              <w:rPr>
                <w:color w:val="000000"/>
                <w:spacing w:val="1"/>
                <w:sz w:val="18"/>
              </w:rPr>
              <w:t xml:space="preserve"> </w:t>
            </w:r>
            <w:r>
              <w:rPr>
                <w:color w:val="000000"/>
                <w:sz w:val="18"/>
              </w:rPr>
              <w:t>la</w:t>
            </w:r>
            <w:r>
              <w:rPr>
                <w:color w:val="000000"/>
                <w:spacing w:val="1"/>
                <w:sz w:val="18"/>
              </w:rPr>
              <w:t xml:space="preserve"> </w:t>
            </w:r>
            <w:r>
              <w:rPr>
                <w:color w:val="000000"/>
                <w:sz w:val="18"/>
              </w:rPr>
              <w:t>majoritatea</w:t>
            </w:r>
            <w:r>
              <w:rPr>
                <w:color w:val="000000"/>
                <w:spacing w:val="1"/>
                <w:sz w:val="18"/>
              </w:rPr>
              <w:t xml:space="preserve"> </w:t>
            </w:r>
            <w:r>
              <w:rPr>
                <w:color w:val="000000"/>
                <w:sz w:val="18"/>
              </w:rPr>
              <w:t>exemplarelor</w:t>
            </w:r>
            <w:r>
              <w:rPr>
                <w:color w:val="000000"/>
                <w:spacing w:val="-2"/>
                <w:sz w:val="18"/>
              </w:rPr>
              <w:t xml:space="preserve"> </w:t>
            </w:r>
            <w:r>
              <w:rPr>
                <w:color w:val="000000"/>
                <w:sz w:val="18"/>
              </w:rPr>
              <w:t>din</w:t>
            </w:r>
            <w:r>
              <w:rPr>
                <w:color w:val="000000"/>
                <w:spacing w:val="-2"/>
                <w:sz w:val="18"/>
              </w:rPr>
              <w:t xml:space="preserve"> </w:t>
            </w:r>
            <w:r>
              <w:rPr>
                <w:color w:val="000000"/>
                <w:sz w:val="18"/>
              </w:rPr>
              <w:t>arboret.</w:t>
            </w:r>
          </w:p>
          <w:p>
            <w:pPr>
              <w:pStyle w:val="TableParagraph"/>
              <w:ind w:left="13" w:right="-29" w:hanging="0"/>
              <w:jc w:val="both"/>
              <w:rPr/>
            </w:pPr>
            <w:r>
              <w:rPr>
                <w:color w:val="000000"/>
                <w:sz w:val="18"/>
              </w:rPr>
              <w:t>Degajările</w:t>
            </w:r>
            <w:r>
              <w:rPr>
                <w:color w:val="000000"/>
                <w:spacing w:val="1"/>
                <w:sz w:val="18"/>
              </w:rPr>
              <w:t xml:space="preserve"> </w:t>
            </w:r>
            <w:r>
              <w:rPr>
                <w:color w:val="000000"/>
                <w:sz w:val="18"/>
              </w:rPr>
              <w:t>trebuie</w:t>
            </w:r>
            <w:r>
              <w:rPr>
                <w:color w:val="000000"/>
                <w:spacing w:val="1"/>
                <w:sz w:val="18"/>
              </w:rPr>
              <w:t xml:space="preserve"> </w:t>
            </w:r>
            <w:r>
              <w:rPr>
                <w:color w:val="000000"/>
                <w:sz w:val="18"/>
              </w:rPr>
              <w:t>executate</w:t>
            </w:r>
            <w:r>
              <w:rPr>
                <w:color w:val="000000"/>
                <w:spacing w:val="1"/>
                <w:sz w:val="18"/>
              </w:rPr>
              <w:t xml:space="preserve"> </w:t>
            </w:r>
            <w:r>
              <w:rPr>
                <w:color w:val="000000"/>
                <w:sz w:val="18"/>
              </w:rPr>
              <w:t>numai</w:t>
            </w:r>
            <w:r>
              <w:rPr>
                <w:color w:val="000000"/>
                <w:spacing w:val="1"/>
                <w:sz w:val="18"/>
              </w:rPr>
              <w:t xml:space="preserve"> </w:t>
            </w:r>
            <w:r>
              <w:rPr>
                <w:color w:val="000000"/>
                <w:sz w:val="18"/>
              </w:rPr>
              <w:t>în</w:t>
            </w:r>
            <w:r>
              <w:rPr>
                <w:color w:val="000000"/>
                <w:spacing w:val="1"/>
                <w:sz w:val="18"/>
              </w:rPr>
              <w:t xml:space="preserve"> </w:t>
            </w:r>
            <w:r>
              <w:rPr>
                <w:color w:val="000000"/>
                <w:sz w:val="18"/>
              </w:rPr>
              <w:t>timpul</w:t>
            </w:r>
            <w:r>
              <w:rPr>
                <w:color w:val="000000"/>
                <w:spacing w:val="1"/>
                <w:sz w:val="18"/>
              </w:rPr>
              <w:t xml:space="preserve"> </w:t>
            </w:r>
            <w:r>
              <w:rPr>
                <w:color w:val="000000"/>
                <w:sz w:val="18"/>
              </w:rPr>
              <w:t>când</w:t>
            </w:r>
            <w:r>
              <w:rPr>
                <w:color w:val="000000"/>
                <w:spacing w:val="1"/>
                <w:sz w:val="18"/>
              </w:rPr>
              <w:t xml:space="preserve"> </w:t>
            </w:r>
            <w:r>
              <w:rPr>
                <w:color w:val="000000"/>
                <w:sz w:val="18"/>
              </w:rPr>
              <w:t>arboretul</w:t>
            </w:r>
            <w:r>
              <w:rPr>
                <w:color w:val="000000"/>
                <w:spacing w:val="1"/>
                <w:sz w:val="18"/>
              </w:rPr>
              <w:t xml:space="preserve"> </w:t>
            </w:r>
            <w:r>
              <w:rPr>
                <w:color w:val="000000"/>
                <w:sz w:val="18"/>
              </w:rPr>
              <w:t>este</w:t>
            </w:r>
            <w:r>
              <w:rPr>
                <w:color w:val="000000"/>
                <w:spacing w:val="1"/>
                <w:sz w:val="18"/>
              </w:rPr>
              <w:t xml:space="preserve"> </w:t>
            </w:r>
            <w:r>
              <w:rPr>
                <w:color w:val="000000"/>
                <w:sz w:val="18"/>
              </w:rPr>
              <w:t>înfrunzit.</w:t>
            </w:r>
            <w:r>
              <w:rPr>
                <w:color w:val="000000"/>
                <w:spacing w:val="1"/>
                <w:sz w:val="18"/>
              </w:rPr>
              <w:t xml:space="preserve"> </w:t>
            </w:r>
            <w:r>
              <w:rPr>
                <w:color w:val="000000"/>
                <w:sz w:val="18"/>
              </w:rPr>
              <w:t>Epoca</w:t>
            </w:r>
            <w:r>
              <w:rPr>
                <w:color w:val="000000"/>
                <w:spacing w:val="1"/>
                <w:sz w:val="18"/>
              </w:rPr>
              <w:t xml:space="preserve"> </w:t>
            </w:r>
            <w:r>
              <w:rPr>
                <w:color w:val="000000"/>
                <w:sz w:val="18"/>
              </w:rPr>
              <w:t>optimă</w:t>
            </w:r>
            <w:r>
              <w:rPr>
                <w:color w:val="000000"/>
                <w:spacing w:val="1"/>
                <w:sz w:val="18"/>
              </w:rPr>
              <w:t xml:space="preserve"> </w:t>
            </w:r>
            <w:r>
              <w:rPr>
                <w:color w:val="000000"/>
                <w:sz w:val="18"/>
              </w:rPr>
              <w:t>pentru</w:t>
            </w:r>
            <w:r>
              <w:rPr>
                <w:color w:val="000000"/>
                <w:spacing w:val="1"/>
                <w:sz w:val="18"/>
              </w:rPr>
              <w:t xml:space="preserve"> </w:t>
            </w:r>
            <w:r>
              <w:rPr>
                <w:color w:val="000000"/>
                <w:sz w:val="18"/>
              </w:rPr>
              <w:t>executarea</w:t>
            </w:r>
            <w:r>
              <w:rPr>
                <w:color w:val="000000"/>
                <w:spacing w:val="1"/>
                <w:sz w:val="18"/>
              </w:rPr>
              <w:t xml:space="preserve"> </w:t>
            </w:r>
            <w:r>
              <w:rPr>
                <w:color w:val="000000"/>
                <w:sz w:val="18"/>
              </w:rPr>
              <w:t>degajărilor</w:t>
            </w:r>
            <w:r>
              <w:rPr>
                <w:color w:val="000000"/>
                <w:spacing w:val="1"/>
                <w:sz w:val="18"/>
              </w:rPr>
              <w:t xml:space="preserve"> </w:t>
            </w:r>
            <w:r>
              <w:rPr>
                <w:color w:val="000000"/>
                <w:sz w:val="18"/>
              </w:rPr>
              <w:t>este</w:t>
            </w:r>
            <w:r>
              <w:rPr>
                <w:color w:val="000000"/>
                <w:spacing w:val="1"/>
                <w:sz w:val="18"/>
              </w:rPr>
              <w:t xml:space="preserve"> </w:t>
            </w:r>
            <w:r>
              <w:rPr>
                <w:color w:val="000000"/>
                <w:sz w:val="18"/>
              </w:rPr>
              <w:t>între</w:t>
            </w:r>
            <w:r>
              <w:rPr>
                <w:color w:val="000000"/>
                <w:spacing w:val="46"/>
                <w:sz w:val="18"/>
              </w:rPr>
              <w:t xml:space="preserve"> </w:t>
            </w:r>
            <w:r>
              <w:rPr>
                <w:color w:val="000000"/>
                <w:sz w:val="18"/>
              </w:rPr>
              <w:t>15</w:t>
            </w:r>
            <w:r>
              <w:rPr>
                <w:color w:val="000000"/>
                <w:spacing w:val="1"/>
                <w:sz w:val="18"/>
              </w:rPr>
              <w:t xml:space="preserve"> </w:t>
            </w:r>
            <w:r>
              <w:rPr>
                <w:color w:val="000000"/>
                <w:sz w:val="18"/>
              </w:rPr>
              <w:t>august şi 30 septembrie, în timpul zilelor mai</w:t>
            </w:r>
            <w:r>
              <w:rPr>
                <w:color w:val="000000"/>
                <w:spacing w:val="1"/>
                <w:sz w:val="18"/>
              </w:rPr>
              <w:t xml:space="preserve"> </w:t>
            </w:r>
            <w:r>
              <w:rPr>
                <w:color w:val="000000"/>
                <w:sz w:val="18"/>
              </w:rPr>
              <w:t>puţin</w:t>
            </w:r>
            <w:r>
              <w:rPr>
                <w:color w:val="000000"/>
                <w:spacing w:val="1"/>
                <w:sz w:val="18"/>
              </w:rPr>
              <w:t xml:space="preserve"> </w:t>
            </w:r>
            <w:r>
              <w:rPr>
                <w:color w:val="000000"/>
                <w:sz w:val="18"/>
              </w:rPr>
              <w:t>călduroase,</w:t>
            </w:r>
            <w:r>
              <w:rPr>
                <w:color w:val="000000"/>
                <w:spacing w:val="1"/>
                <w:sz w:val="18"/>
              </w:rPr>
              <w:t xml:space="preserve"> </w:t>
            </w:r>
            <w:r>
              <w:rPr>
                <w:color w:val="000000"/>
                <w:sz w:val="18"/>
              </w:rPr>
              <w:t>în</w:t>
            </w:r>
            <w:r>
              <w:rPr>
                <w:color w:val="000000"/>
                <w:spacing w:val="1"/>
                <w:sz w:val="18"/>
              </w:rPr>
              <w:t xml:space="preserve"> </w:t>
            </w:r>
            <w:r>
              <w:rPr>
                <w:color w:val="000000"/>
                <w:sz w:val="18"/>
              </w:rPr>
              <w:t>luna</w:t>
            </w:r>
            <w:r>
              <w:rPr>
                <w:color w:val="000000"/>
                <w:spacing w:val="1"/>
                <w:sz w:val="18"/>
              </w:rPr>
              <w:t xml:space="preserve"> </w:t>
            </w:r>
            <w:r>
              <w:rPr>
                <w:color w:val="000000"/>
                <w:sz w:val="18"/>
              </w:rPr>
              <w:t>octombrie</w:t>
            </w:r>
            <w:r>
              <w:rPr>
                <w:color w:val="000000"/>
                <w:spacing w:val="1"/>
                <w:sz w:val="18"/>
              </w:rPr>
              <w:t xml:space="preserve"> </w:t>
            </w:r>
            <w:r>
              <w:rPr>
                <w:color w:val="000000"/>
                <w:sz w:val="18"/>
              </w:rPr>
              <w:t>nefiind</w:t>
            </w:r>
            <w:r>
              <w:rPr>
                <w:color w:val="000000"/>
                <w:spacing w:val="1"/>
                <w:sz w:val="18"/>
              </w:rPr>
              <w:t xml:space="preserve"> </w:t>
            </w:r>
            <w:r>
              <w:rPr>
                <w:color w:val="000000"/>
                <w:sz w:val="18"/>
              </w:rPr>
              <w:t>indicate, întrucât lujeri insuficient lignificaţi ai</w:t>
            </w:r>
            <w:r>
              <w:rPr>
                <w:color w:val="000000"/>
                <w:spacing w:val="1"/>
                <w:sz w:val="18"/>
              </w:rPr>
              <w:t xml:space="preserve"> </w:t>
            </w:r>
            <w:r>
              <w:rPr>
                <w:color w:val="000000"/>
                <w:sz w:val="18"/>
              </w:rPr>
              <w:t>exemplarelor</w:t>
            </w:r>
            <w:r>
              <w:rPr>
                <w:color w:val="000000"/>
                <w:spacing w:val="1"/>
                <w:sz w:val="18"/>
              </w:rPr>
              <w:t xml:space="preserve"> </w:t>
            </w:r>
            <w:r>
              <w:rPr>
                <w:color w:val="000000"/>
                <w:sz w:val="18"/>
              </w:rPr>
              <w:t>degajate</w:t>
            </w:r>
            <w:r>
              <w:rPr>
                <w:color w:val="000000"/>
                <w:spacing w:val="1"/>
                <w:sz w:val="18"/>
              </w:rPr>
              <w:t xml:space="preserve"> </w:t>
            </w:r>
            <w:r>
              <w:rPr>
                <w:color w:val="000000"/>
                <w:sz w:val="18"/>
              </w:rPr>
              <w:t>sunt</w:t>
            </w:r>
            <w:r>
              <w:rPr>
                <w:color w:val="000000"/>
                <w:spacing w:val="1"/>
                <w:sz w:val="18"/>
              </w:rPr>
              <w:t xml:space="preserve"> </w:t>
            </w:r>
            <w:r>
              <w:rPr>
                <w:color w:val="000000"/>
                <w:sz w:val="18"/>
              </w:rPr>
              <w:t>afectaţi</w:t>
            </w:r>
            <w:r>
              <w:rPr>
                <w:color w:val="000000"/>
                <w:spacing w:val="1"/>
                <w:sz w:val="18"/>
              </w:rPr>
              <w:t xml:space="preserve"> </w:t>
            </w:r>
            <w:r>
              <w:rPr>
                <w:color w:val="000000"/>
                <w:sz w:val="18"/>
              </w:rPr>
              <w:t>de</w:t>
            </w:r>
            <w:r>
              <w:rPr>
                <w:color w:val="000000"/>
                <w:spacing w:val="1"/>
                <w:sz w:val="18"/>
              </w:rPr>
              <w:t xml:space="preserve"> </w:t>
            </w:r>
            <w:r>
              <w:rPr>
                <w:color w:val="000000"/>
                <w:sz w:val="18"/>
              </w:rPr>
              <w:t>ger</w:t>
            </w:r>
            <w:r>
              <w:rPr>
                <w:color w:val="000000"/>
                <w:spacing w:val="45"/>
                <w:sz w:val="18"/>
              </w:rPr>
              <w:t xml:space="preserve"> </w:t>
            </w:r>
            <w:r>
              <w:rPr>
                <w:color w:val="000000"/>
                <w:sz w:val="18"/>
              </w:rPr>
              <w:t>cu</w:t>
            </w:r>
            <w:r>
              <w:rPr>
                <w:color w:val="000000"/>
                <w:spacing w:val="-42"/>
                <w:sz w:val="18"/>
              </w:rPr>
              <w:t xml:space="preserve"> </w:t>
            </w:r>
            <w:r>
              <w:rPr>
                <w:color w:val="000000"/>
                <w:sz w:val="18"/>
              </w:rPr>
              <w:t>mai</w:t>
            </w:r>
            <w:r>
              <w:rPr>
                <w:color w:val="000000"/>
                <w:spacing w:val="1"/>
                <w:sz w:val="18"/>
              </w:rPr>
              <w:t xml:space="preserve"> </w:t>
            </w:r>
            <w:r>
              <w:rPr>
                <w:color w:val="000000"/>
                <w:sz w:val="18"/>
              </w:rPr>
              <w:t>mare</w:t>
            </w:r>
            <w:r>
              <w:rPr>
                <w:color w:val="000000"/>
                <w:spacing w:val="1"/>
                <w:sz w:val="18"/>
              </w:rPr>
              <w:t xml:space="preserve"> </w:t>
            </w:r>
            <w:r>
              <w:rPr>
                <w:color w:val="000000"/>
                <w:sz w:val="18"/>
              </w:rPr>
              <w:t>uşurinţă,</w:t>
            </w:r>
            <w:r>
              <w:rPr>
                <w:color w:val="000000"/>
                <w:spacing w:val="1"/>
                <w:sz w:val="18"/>
              </w:rPr>
              <w:t xml:space="preserve"> </w:t>
            </w:r>
            <w:r>
              <w:rPr>
                <w:color w:val="000000"/>
                <w:sz w:val="18"/>
              </w:rPr>
              <w:t>dacă</w:t>
            </w:r>
            <w:r>
              <w:rPr>
                <w:color w:val="000000"/>
                <w:spacing w:val="1"/>
                <w:sz w:val="18"/>
              </w:rPr>
              <w:t xml:space="preserve"> </w:t>
            </w:r>
            <w:r>
              <w:rPr>
                <w:color w:val="000000"/>
                <w:sz w:val="18"/>
              </w:rPr>
              <w:t>sunt</w:t>
            </w:r>
            <w:r>
              <w:rPr>
                <w:color w:val="000000"/>
                <w:spacing w:val="1"/>
                <w:sz w:val="18"/>
              </w:rPr>
              <w:t xml:space="preserve"> </w:t>
            </w:r>
            <w:r>
              <w:rPr>
                <w:color w:val="000000"/>
                <w:sz w:val="18"/>
              </w:rPr>
              <w:t>complet</w:t>
            </w:r>
            <w:r>
              <w:rPr>
                <w:color w:val="000000"/>
                <w:spacing w:val="1"/>
                <w:sz w:val="18"/>
              </w:rPr>
              <w:t xml:space="preserve"> </w:t>
            </w:r>
            <w:r>
              <w:rPr>
                <w:color w:val="000000"/>
                <w:sz w:val="18"/>
              </w:rPr>
              <w:t>descoperiţi.</w:t>
            </w:r>
          </w:p>
          <w:p>
            <w:pPr>
              <w:pStyle w:val="TableParagraph"/>
              <w:ind w:left="13" w:right="-29" w:hanging="0"/>
              <w:jc w:val="both"/>
              <w:rPr/>
            </w:pPr>
            <w:r>
              <w:rPr>
                <w:color w:val="000000"/>
                <w:sz w:val="18"/>
              </w:rPr>
              <w:t>Stabilirea modalităţii</w:t>
            </w:r>
            <w:r>
              <w:rPr>
                <w:color w:val="000000"/>
                <w:spacing w:val="45"/>
                <w:sz w:val="18"/>
              </w:rPr>
              <w:t xml:space="preserve"> </w:t>
            </w:r>
            <w:r>
              <w:rPr>
                <w:color w:val="000000"/>
                <w:sz w:val="18"/>
              </w:rPr>
              <w:t>de intervenţie la degajări</w:t>
            </w:r>
            <w:r>
              <w:rPr>
                <w:color w:val="000000"/>
                <w:spacing w:val="1"/>
                <w:sz w:val="18"/>
              </w:rPr>
              <w:t xml:space="preserve"> </w:t>
            </w:r>
            <w:r>
              <w:rPr>
                <w:color w:val="000000"/>
                <w:sz w:val="18"/>
              </w:rPr>
              <w:t>se</w:t>
            </w:r>
            <w:r>
              <w:rPr>
                <w:color w:val="000000"/>
                <w:spacing w:val="1"/>
                <w:sz w:val="18"/>
              </w:rPr>
              <w:t xml:space="preserve"> </w:t>
            </w:r>
            <w:r>
              <w:rPr>
                <w:color w:val="000000"/>
                <w:sz w:val="18"/>
              </w:rPr>
              <w:t>realizează</w:t>
            </w:r>
            <w:r>
              <w:rPr>
                <w:color w:val="000000"/>
                <w:spacing w:val="1"/>
                <w:sz w:val="18"/>
              </w:rPr>
              <w:t xml:space="preserve"> </w:t>
            </w:r>
            <w:r>
              <w:rPr>
                <w:color w:val="000000"/>
                <w:sz w:val="18"/>
              </w:rPr>
              <w:t>într-o</w:t>
            </w:r>
            <w:r>
              <w:rPr>
                <w:color w:val="000000"/>
                <w:spacing w:val="1"/>
                <w:sz w:val="18"/>
              </w:rPr>
              <w:t xml:space="preserve"> </w:t>
            </w:r>
            <w:r>
              <w:rPr>
                <w:color w:val="000000"/>
                <w:sz w:val="18"/>
              </w:rPr>
              <w:t>zonă</w:t>
            </w:r>
            <w:r>
              <w:rPr>
                <w:color w:val="000000"/>
                <w:spacing w:val="1"/>
                <w:sz w:val="18"/>
              </w:rPr>
              <w:t xml:space="preserve"> </w:t>
            </w:r>
            <w:r>
              <w:rPr>
                <w:color w:val="000000"/>
                <w:sz w:val="18"/>
              </w:rPr>
              <w:t>reprezentativă</w:t>
            </w:r>
            <w:r>
              <w:rPr>
                <w:color w:val="000000"/>
                <w:spacing w:val="1"/>
                <w:sz w:val="18"/>
              </w:rPr>
              <w:t xml:space="preserve"> </w:t>
            </w:r>
            <w:r>
              <w:rPr>
                <w:color w:val="000000"/>
                <w:sz w:val="18"/>
              </w:rPr>
              <w:t>a</w:t>
            </w:r>
            <w:r>
              <w:rPr>
                <w:color w:val="000000"/>
                <w:spacing w:val="1"/>
                <w:sz w:val="18"/>
              </w:rPr>
              <w:t xml:space="preserve"> </w:t>
            </w:r>
            <w:r>
              <w:rPr>
                <w:color w:val="000000"/>
                <w:sz w:val="18"/>
              </w:rPr>
              <w:t>arboretului,</w:t>
            </w:r>
            <w:r>
              <w:rPr>
                <w:color w:val="000000"/>
                <w:spacing w:val="1"/>
                <w:sz w:val="18"/>
              </w:rPr>
              <w:t xml:space="preserve"> </w:t>
            </w:r>
            <w:r>
              <w:rPr>
                <w:color w:val="000000"/>
                <w:sz w:val="18"/>
              </w:rPr>
              <w:t>prin amplasarea unei</w:t>
            </w:r>
            <w:r>
              <w:rPr>
                <w:color w:val="000000"/>
                <w:spacing w:val="1"/>
                <w:sz w:val="18"/>
              </w:rPr>
              <w:t xml:space="preserve"> </w:t>
            </w:r>
            <w:r>
              <w:rPr>
                <w:color w:val="000000"/>
                <w:sz w:val="18"/>
              </w:rPr>
              <w:t>suprafeţe de</w:t>
            </w:r>
            <w:r>
              <w:rPr>
                <w:color w:val="000000"/>
                <w:spacing w:val="1"/>
                <w:sz w:val="18"/>
              </w:rPr>
              <w:t xml:space="preserve"> </w:t>
            </w:r>
            <w:r>
              <w:rPr>
                <w:color w:val="000000"/>
                <w:sz w:val="18"/>
              </w:rPr>
              <w:t>probă</w:t>
            </w:r>
            <w:r>
              <w:rPr>
                <w:color w:val="000000"/>
                <w:spacing w:val="1"/>
                <w:sz w:val="18"/>
              </w:rPr>
              <w:t xml:space="preserve"> </w:t>
            </w:r>
            <w:r>
              <w:rPr>
                <w:color w:val="000000"/>
                <w:sz w:val="18"/>
              </w:rPr>
              <w:t>de</w:t>
            </w:r>
            <w:r>
              <w:rPr>
                <w:color w:val="000000"/>
                <w:spacing w:val="1"/>
                <w:sz w:val="18"/>
              </w:rPr>
              <w:t xml:space="preserve"> </w:t>
            </w:r>
            <w:r>
              <w:rPr>
                <w:color w:val="000000"/>
                <w:sz w:val="18"/>
              </w:rPr>
              <w:t>1000</w:t>
            </w:r>
            <w:r>
              <w:rPr>
                <w:color w:val="000000"/>
                <w:spacing w:val="1"/>
                <w:sz w:val="18"/>
              </w:rPr>
              <w:t xml:space="preserve"> </w:t>
            </w:r>
            <w:r>
              <w:rPr>
                <w:color w:val="000000"/>
                <w:sz w:val="18"/>
              </w:rPr>
              <w:t>mp,</w:t>
            </w:r>
            <w:r>
              <w:rPr>
                <w:color w:val="000000"/>
                <w:spacing w:val="1"/>
                <w:sz w:val="18"/>
              </w:rPr>
              <w:t xml:space="preserve"> </w:t>
            </w:r>
            <w:r>
              <w:rPr>
                <w:color w:val="000000"/>
                <w:sz w:val="18"/>
              </w:rPr>
              <w:t>în</w:t>
            </w:r>
            <w:r>
              <w:rPr>
                <w:color w:val="000000"/>
                <w:spacing w:val="1"/>
                <w:sz w:val="18"/>
              </w:rPr>
              <w:t xml:space="preserve"> </w:t>
            </w:r>
            <w:r>
              <w:rPr>
                <w:color w:val="000000"/>
                <w:sz w:val="18"/>
              </w:rPr>
              <w:t>care</w:t>
            </w:r>
            <w:r>
              <w:rPr>
                <w:color w:val="000000"/>
                <w:spacing w:val="1"/>
                <w:sz w:val="18"/>
              </w:rPr>
              <w:t xml:space="preserve"> </w:t>
            </w:r>
            <w:r>
              <w:rPr>
                <w:color w:val="000000"/>
                <w:sz w:val="18"/>
              </w:rPr>
              <w:t>se</w:t>
            </w:r>
            <w:r>
              <w:rPr>
                <w:color w:val="000000"/>
                <w:spacing w:val="1"/>
                <w:sz w:val="18"/>
              </w:rPr>
              <w:t xml:space="preserve"> </w:t>
            </w:r>
            <w:r>
              <w:rPr>
                <w:color w:val="000000"/>
                <w:sz w:val="18"/>
              </w:rPr>
              <w:t>prezintă</w:t>
            </w:r>
            <w:r>
              <w:rPr>
                <w:color w:val="000000"/>
                <w:spacing w:val="1"/>
                <w:sz w:val="18"/>
              </w:rPr>
              <w:t xml:space="preserve"> </w:t>
            </w:r>
            <w:r>
              <w:rPr>
                <w:color w:val="000000"/>
                <w:sz w:val="18"/>
              </w:rPr>
              <w:t>personalului</w:t>
            </w:r>
            <w:r>
              <w:rPr>
                <w:color w:val="000000"/>
                <w:spacing w:val="-1"/>
                <w:sz w:val="18"/>
              </w:rPr>
              <w:t xml:space="preserve"> </w:t>
            </w:r>
            <w:r>
              <w:rPr>
                <w:color w:val="000000"/>
                <w:sz w:val="18"/>
              </w:rPr>
              <w:t>silvic</w:t>
            </w:r>
            <w:r>
              <w:rPr>
                <w:color w:val="000000"/>
                <w:spacing w:val="-2"/>
                <w:sz w:val="18"/>
              </w:rPr>
              <w:t xml:space="preserve"> </w:t>
            </w:r>
            <w:r>
              <w:rPr>
                <w:color w:val="000000"/>
                <w:sz w:val="18"/>
              </w:rPr>
              <w:t>modul de</w:t>
            </w:r>
            <w:r>
              <w:rPr>
                <w:color w:val="000000"/>
                <w:spacing w:val="-2"/>
                <w:sz w:val="18"/>
              </w:rPr>
              <w:t xml:space="preserve"> </w:t>
            </w:r>
            <w:r>
              <w:rPr>
                <w:color w:val="000000"/>
                <w:sz w:val="18"/>
              </w:rPr>
              <w:t>lucru.</w:t>
            </w:r>
          </w:p>
          <w:p>
            <w:pPr>
              <w:pStyle w:val="Normal"/>
              <w:jc w:val="both"/>
              <w:rPr>
                <w:color w:val="000000"/>
                <w:sz w:val="16"/>
                <w:szCs w:val="16"/>
              </w:rPr>
            </w:pPr>
            <w:r>
              <w:rPr>
                <w:color w:val="000000"/>
                <w:sz w:val="18"/>
              </w:rPr>
              <w:t>Periodicitatea</w:t>
            </w:r>
            <w:r>
              <w:rPr>
                <w:color w:val="000000"/>
                <w:spacing w:val="1"/>
                <w:sz w:val="18"/>
              </w:rPr>
              <w:t xml:space="preserve"> </w:t>
            </w:r>
            <w:r>
              <w:rPr>
                <w:color w:val="000000"/>
                <w:sz w:val="18"/>
              </w:rPr>
              <w:t>este</w:t>
            </w:r>
            <w:r>
              <w:rPr>
                <w:color w:val="000000"/>
                <w:spacing w:val="1"/>
                <w:sz w:val="18"/>
              </w:rPr>
              <w:t xml:space="preserve"> </w:t>
            </w:r>
            <w:r>
              <w:rPr>
                <w:color w:val="000000"/>
                <w:sz w:val="18"/>
              </w:rPr>
              <w:t>determinată</w:t>
            </w:r>
            <w:r>
              <w:rPr>
                <w:color w:val="000000"/>
                <w:spacing w:val="1"/>
                <w:sz w:val="18"/>
              </w:rPr>
              <w:t xml:space="preserve"> </w:t>
            </w:r>
            <w:r>
              <w:rPr>
                <w:color w:val="000000"/>
                <w:sz w:val="18"/>
              </w:rPr>
              <w:t>atât</w:t>
            </w:r>
            <w:r>
              <w:rPr>
                <w:color w:val="000000"/>
                <w:spacing w:val="1"/>
                <w:sz w:val="18"/>
              </w:rPr>
              <w:t xml:space="preserve"> </w:t>
            </w:r>
            <w:r>
              <w:rPr>
                <w:color w:val="000000"/>
                <w:sz w:val="18"/>
              </w:rPr>
              <w:t>de</w:t>
            </w:r>
            <w:r>
              <w:rPr>
                <w:color w:val="000000"/>
                <w:spacing w:val="1"/>
                <w:sz w:val="18"/>
              </w:rPr>
              <w:t xml:space="preserve"> </w:t>
            </w:r>
            <w:r>
              <w:rPr>
                <w:color w:val="000000"/>
                <w:sz w:val="18"/>
              </w:rPr>
              <w:t>caracteristicile biologice ale speciilor principale</w:t>
            </w:r>
            <w:r>
              <w:rPr>
                <w:color w:val="000000"/>
                <w:spacing w:val="1"/>
                <w:sz w:val="18"/>
              </w:rPr>
              <w:t xml:space="preserve"> </w:t>
            </w:r>
            <w:r>
              <w:rPr>
                <w:color w:val="000000"/>
                <w:sz w:val="18"/>
              </w:rPr>
              <w:t>şi copleşitoare, care compun arboretul, cât şi de</w:t>
            </w:r>
            <w:r>
              <w:rPr>
                <w:color w:val="000000"/>
                <w:spacing w:val="1"/>
                <w:sz w:val="18"/>
              </w:rPr>
              <w:t xml:space="preserve"> </w:t>
            </w:r>
            <w:r>
              <w:rPr>
                <w:color w:val="000000"/>
                <w:sz w:val="18"/>
              </w:rPr>
              <w:t>condiţiile</w:t>
            </w:r>
            <w:r>
              <w:rPr>
                <w:color w:val="000000"/>
                <w:spacing w:val="-3"/>
                <w:sz w:val="18"/>
              </w:rPr>
              <w:t xml:space="preserve"> </w:t>
            </w:r>
            <w:r>
              <w:rPr>
                <w:color w:val="000000"/>
                <w:sz w:val="18"/>
              </w:rPr>
              <w:t>staţionale</w:t>
            </w:r>
            <w:r>
              <w:rPr>
                <w:color w:val="000000"/>
                <w:spacing w:val="-2"/>
                <w:sz w:val="18"/>
              </w:rPr>
              <w:t xml:space="preserve"> </w:t>
            </w:r>
            <w:r>
              <w:rPr>
                <w:color w:val="000000"/>
                <w:sz w:val="18"/>
              </w:rPr>
              <w:t>(de</w:t>
            </w:r>
            <w:r>
              <w:rPr>
                <w:color w:val="000000"/>
                <w:spacing w:val="-2"/>
                <w:sz w:val="18"/>
              </w:rPr>
              <w:t xml:space="preserve"> </w:t>
            </w:r>
            <w:r>
              <w:rPr>
                <w:color w:val="000000"/>
                <w:sz w:val="18"/>
              </w:rPr>
              <w:t>regulă, 1</w:t>
            </w:r>
            <w:r>
              <w:rPr>
                <w:color w:val="000000"/>
                <w:spacing w:val="2"/>
                <w:sz w:val="18"/>
              </w:rPr>
              <w:t xml:space="preserve"> </w:t>
            </w:r>
            <w:r>
              <w:rPr>
                <w:color w:val="000000"/>
                <w:sz w:val="18"/>
              </w:rPr>
              <w:t>-</w:t>
            </w:r>
            <w:r>
              <w:rPr>
                <w:color w:val="000000"/>
                <w:spacing w:val="-5"/>
                <w:sz w:val="18"/>
              </w:rPr>
              <w:t xml:space="preserve"> </w:t>
            </w:r>
            <w:r>
              <w:rPr>
                <w:color w:val="000000"/>
                <w:sz w:val="18"/>
              </w:rPr>
              <w:t>3</w:t>
            </w:r>
            <w:r>
              <w:rPr>
                <w:color w:val="000000"/>
                <w:spacing w:val="-2"/>
                <w:sz w:val="18"/>
              </w:rPr>
              <w:t xml:space="preserve"> </w:t>
            </w:r>
            <w:r>
              <w:rPr>
                <w:color w:val="000000"/>
                <w:sz w:val="18"/>
              </w:rPr>
              <w:t>ani).</w:t>
            </w:r>
          </w:p>
        </w:tc>
        <w:tc>
          <w:tcPr>
            <w:tcW w:w="1667" w:type="dxa"/>
            <w:tcBorders>
              <w:top w:val="single" w:sz="4" w:space="0" w:color="000000"/>
              <w:left w:val="single" w:sz="4" w:space="0" w:color="000000"/>
              <w:bottom w:val="single" w:sz="4" w:space="0" w:color="000000"/>
            </w:tcBorders>
            <w:vAlign w:val="center"/>
          </w:tcPr>
          <w:p>
            <w:pPr>
              <w:pStyle w:val="Normal"/>
              <w:ind w:left="-57" w:right="-57" w:hanging="0"/>
              <w:jc w:val="center"/>
              <w:rPr>
                <w:color w:val="000000"/>
                <w:sz w:val="16"/>
                <w:szCs w:val="16"/>
              </w:rPr>
            </w:pPr>
            <w:r>
              <w:rPr>
                <w:color w:val="000000"/>
                <w:sz w:val="16"/>
                <w:szCs w:val="16"/>
              </w:rPr>
              <w:t>UP IV</w:t>
            </w:r>
          </w:p>
          <w:p>
            <w:pPr>
              <w:pStyle w:val="Normal"/>
              <w:ind w:left="-57" w:right="-57" w:hanging="0"/>
              <w:jc w:val="center"/>
              <w:rPr>
                <w:color w:val="000000"/>
                <w:sz w:val="16"/>
                <w:szCs w:val="16"/>
              </w:rPr>
            </w:pPr>
            <w:r>
              <w:rPr>
                <w:color w:val="000000"/>
                <w:sz w:val="16"/>
                <w:szCs w:val="16"/>
              </w:rPr>
              <w:t xml:space="preserve">TR 1 </w:t>
            </w:r>
          </w:p>
          <w:p>
            <w:pPr>
              <w:pStyle w:val="Normal"/>
              <w:ind w:left="-57" w:right="-57" w:hanging="0"/>
              <w:jc w:val="center"/>
              <w:rPr>
                <w:color w:val="000000"/>
                <w:sz w:val="16"/>
                <w:szCs w:val="16"/>
              </w:rPr>
            </w:pPr>
            <w:r>
              <w:rPr>
                <w:color w:val="000000"/>
                <w:sz w:val="16"/>
                <w:szCs w:val="16"/>
              </w:rPr>
              <w:t>58B si 59D</w:t>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t>UP IV</w:t>
            </w:r>
          </w:p>
          <w:p>
            <w:pPr>
              <w:pStyle w:val="Normal"/>
              <w:ind w:left="-57" w:right="-57" w:hanging="0"/>
              <w:jc w:val="center"/>
              <w:rPr>
                <w:color w:val="000000"/>
                <w:sz w:val="16"/>
                <w:szCs w:val="16"/>
              </w:rPr>
            </w:pPr>
            <w:r>
              <w:rPr>
                <w:color w:val="000000"/>
                <w:sz w:val="16"/>
                <w:szCs w:val="16"/>
              </w:rPr>
              <w:t>TR 1</w:t>
            </w:r>
          </w:p>
          <w:p>
            <w:pPr>
              <w:pStyle w:val="Normal"/>
              <w:ind w:left="-57" w:right="-57" w:hanging="0"/>
              <w:jc w:val="center"/>
              <w:rPr>
                <w:color w:val="000000"/>
                <w:sz w:val="16"/>
                <w:szCs w:val="16"/>
              </w:rPr>
            </w:pPr>
            <w:r>
              <w:rPr>
                <w:color w:val="000000"/>
                <w:sz w:val="16"/>
                <w:szCs w:val="16"/>
              </w:rPr>
              <w:t>8F, 25D,  76C,</w:t>
            </w:r>
          </w:p>
          <w:p>
            <w:pPr>
              <w:pStyle w:val="Normal"/>
              <w:ind w:left="-57" w:right="-57" w:hanging="0"/>
              <w:jc w:val="center"/>
              <w:rPr>
                <w:color w:val="000000"/>
                <w:sz w:val="16"/>
                <w:szCs w:val="16"/>
              </w:rPr>
            </w:pPr>
            <w:r>
              <w:rPr>
                <w:color w:val="000000"/>
                <w:sz w:val="16"/>
                <w:szCs w:val="16"/>
              </w:rPr>
            </w:r>
          </w:p>
          <w:p>
            <w:pPr>
              <w:pStyle w:val="Normal"/>
              <w:ind w:left="-57" w:right="-57" w:hanging="0"/>
              <w:jc w:val="center"/>
              <w:rPr>
                <w:color w:val="000000"/>
                <w:sz w:val="16"/>
                <w:szCs w:val="16"/>
              </w:rPr>
            </w:pPr>
            <w:r>
              <w:rPr>
                <w:color w:val="000000"/>
                <w:sz w:val="16"/>
                <w:szCs w:val="16"/>
              </w:rPr>
              <w:t>UP  V</w:t>
            </w:r>
          </w:p>
          <w:p>
            <w:pPr>
              <w:pStyle w:val="Normal"/>
              <w:ind w:left="-57" w:right="-57" w:hanging="0"/>
              <w:jc w:val="center"/>
              <w:rPr>
                <w:color w:val="000000"/>
                <w:sz w:val="16"/>
                <w:szCs w:val="16"/>
              </w:rPr>
            </w:pPr>
            <w:r>
              <w:rPr>
                <w:color w:val="000000"/>
                <w:sz w:val="16"/>
                <w:szCs w:val="16"/>
              </w:rPr>
              <w:t>TR 1</w:t>
            </w:r>
          </w:p>
          <w:p>
            <w:pPr>
              <w:pStyle w:val="Normal"/>
              <w:ind w:left="-57" w:right="-57" w:hanging="0"/>
              <w:jc w:val="center"/>
              <w:rPr>
                <w:color w:val="000000"/>
                <w:sz w:val="16"/>
                <w:szCs w:val="16"/>
              </w:rPr>
            </w:pPr>
            <w:r>
              <w:rPr>
                <w:color w:val="000000"/>
                <w:sz w:val="16"/>
                <w:szCs w:val="16"/>
              </w:rPr>
              <w:t>99F, 102A, 110B,</w:t>
            </w:r>
          </w:p>
          <w:p>
            <w:pPr>
              <w:pStyle w:val="Normal"/>
              <w:ind w:left="-57" w:right="-57" w:hanging="0"/>
              <w:jc w:val="center"/>
              <w:rPr>
                <w:color w:val="000000"/>
                <w:sz w:val="16"/>
                <w:szCs w:val="16"/>
              </w:rPr>
            </w:pPr>
            <w:r>
              <w:rPr>
                <w:color w:val="000000"/>
                <w:sz w:val="16"/>
                <w:szCs w:val="16"/>
              </w:rPr>
              <w:t>113B .</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13,24</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30.20</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kern w:val="2"/>
                <w:sz w:val="16"/>
                <w:szCs w:val="16"/>
              </w:rPr>
              <w:t xml:space="preserve">Lucrările ce se vor desfășura în unitatile amenajistice care se suprapun partial cu Situl Natura 2000 ROSCI0042 – Codru Moma, restul tipului de interventie sunt la la o distanța medie de 4,8 km față de sit. </w:t>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pPr>
            <w:r>
              <w:rPr>
                <w:sz w:val="16"/>
                <w:szCs w:val="16"/>
              </w:rPr>
              <w:t>Lucrările se vor desfășura înafara ANPIC la distanța medie de 4,8 km față de ROSCI0042</w:t>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tc>
      </w:tr>
      <w:tr>
        <w:trPr>
          <w:trHeight w:val="2516"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2</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Curățiri</w:t>
            </w:r>
          </w:p>
        </w:tc>
        <w:tc>
          <w:tcPr>
            <w:tcW w:w="3466" w:type="dxa"/>
            <w:tcBorders>
              <w:top w:val="single" w:sz="4" w:space="0" w:color="000000"/>
              <w:left w:val="single" w:sz="4" w:space="0" w:color="000000"/>
              <w:bottom w:val="single" w:sz="4" w:space="0" w:color="000000"/>
            </w:tcBorders>
            <w:vAlign w:val="center"/>
          </w:tcPr>
          <w:p>
            <w:pPr>
              <w:pStyle w:val="Normal"/>
              <w:jc w:val="both"/>
              <w:rPr/>
            </w:pPr>
            <w:r>
              <w:rPr>
                <w:color w:val="000000"/>
                <w:sz w:val="16"/>
                <w:szCs w:val="16"/>
              </w:rPr>
              <w:t>Prin curăţire se înţelege lucrarea de îngrijire cu caracter de selecţie preponderent negativă, ce se aplică arboretelor aflate în stadiile de nuieliş şi prăjiniş, în scopul îmbunătăţirii calităţii, creşterii şi compoziţiei arboretului, prin extragerea arborilor rău conformaţi, accidentaţi, bolnavi, deperisanţi sau uscaţi, înghesuiţi şi copleşiţi sau aparţinând unor specii sau forme genetice mai puţin valoroase şi care nu corespund ţelului de gospodărire şi exigenţelor ecologice.</w:t>
            </w:r>
          </w:p>
          <w:p>
            <w:pPr>
              <w:pStyle w:val="Normal"/>
              <w:jc w:val="both"/>
              <w:rPr>
                <w:color w:val="000000"/>
                <w:sz w:val="16"/>
                <w:szCs w:val="16"/>
              </w:rPr>
            </w:pPr>
            <w:r>
              <w:rPr>
                <w:color w:val="000000"/>
                <w:sz w:val="16"/>
                <w:szCs w:val="16"/>
              </w:rPr>
              <w:t>Curăţirile se execută la 2 - 4 ani de la ultima degajare; în arboretele neparcurse cu degajări prima curăţire are caracterul de degajare întârziată. Sezonul de executare este relativ larg, la răşinoase se va evita perioada de formare a lujerilor (1 mai - 31 iulie).</w:t>
            </w:r>
          </w:p>
          <w:p>
            <w:pPr>
              <w:pStyle w:val="Normal"/>
              <w:jc w:val="both"/>
              <w:rPr>
                <w:color w:val="000000"/>
                <w:sz w:val="16"/>
                <w:szCs w:val="16"/>
              </w:rPr>
            </w:pPr>
            <w:r>
              <w:rPr>
                <w:color w:val="000000"/>
                <w:sz w:val="16"/>
                <w:szCs w:val="16"/>
              </w:rPr>
              <w:t>La foioase, curăţirile se pot executa tot timpul anului.</w:t>
            </w:r>
          </w:p>
          <w:p>
            <w:pPr>
              <w:pStyle w:val="Normal"/>
              <w:jc w:val="both"/>
              <w:rPr>
                <w:color w:val="000000"/>
                <w:sz w:val="16"/>
                <w:szCs w:val="16"/>
              </w:rPr>
            </w:pPr>
            <w:r>
              <w:rPr>
                <w:color w:val="000000"/>
                <w:sz w:val="16"/>
                <w:szCs w:val="16"/>
              </w:rPr>
              <w:t>Intensitatea curăţirilor va fi, după caz, moderată, foarte şi foarte puternică, fără a se întrerupe însă starea de masiv şi fără a se reduce consistenţa  sub 0,75.</w:t>
            </w:r>
          </w:p>
          <w:p>
            <w:pPr>
              <w:pStyle w:val="Normal"/>
              <w:jc w:val="both"/>
              <w:rPr/>
            </w:pPr>
            <w:r>
              <w:rPr>
                <w:color w:val="000000"/>
                <w:sz w:val="16"/>
                <w:szCs w:val="16"/>
              </w:rPr>
              <w:t>Periodicitatea:3-5 ani, în funcţie de specie, starea arboretului, condiţiile staţionale şi lucrările executate anterior.</w:t>
            </w:r>
          </w:p>
        </w:tc>
        <w:tc>
          <w:tcPr>
            <w:tcW w:w="1667" w:type="dxa"/>
            <w:tcBorders>
              <w:top w:val="single" w:sz="4" w:space="0" w:color="000000"/>
              <w:left w:val="single" w:sz="4" w:space="0" w:color="000000"/>
              <w:bottom w:val="single" w:sz="4" w:space="0" w:color="000000"/>
            </w:tcBorders>
            <w:vAlign w:val="center"/>
          </w:tcPr>
          <w:p>
            <w:pPr>
              <w:pStyle w:val="Normal"/>
              <w:ind w:left="-57" w:right="-57" w:hanging="0"/>
              <w:jc w:val="center"/>
              <w:rPr/>
            </w:pPr>
            <w:r>
              <w:rPr>
                <w:color w:val="000000"/>
                <w:sz w:val="16"/>
                <w:szCs w:val="16"/>
              </w:rPr>
              <w:t xml:space="preserve">UPIV </w:t>
            </w:r>
          </w:p>
          <w:p>
            <w:pPr>
              <w:pStyle w:val="Normal"/>
              <w:ind w:left="-57" w:right="-57" w:hanging="0"/>
              <w:jc w:val="center"/>
              <w:rPr/>
            </w:pPr>
            <w:r>
              <w:rPr>
                <w:color w:val="000000"/>
                <w:sz w:val="16"/>
                <w:szCs w:val="16"/>
              </w:rPr>
              <w:t>TR 1</w:t>
            </w:r>
          </w:p>
          <w:p>
            <w:pPr>
              <w:pStyle w:val="Normal"/>
              <w:ind w:left="-57" w:right="-57" w:hanging="0"/>
              <w:jc w:val="center"/>
              <w:rPr/>
            </w:pPr>
            <w:r>
              <w:rPr>
                <w:color w:val="000000"/>
                <w:sz w:val="16"/>
                <w:szCs w:val="16"/>
              </w:rPr>
              <w:t>8C, 23C,</w:t>
            </w:r>
          </w:p>
          <w:p>
            <w:pPr>
              <w:pStyle w:val="Normal"/>
              <w:ind w:left="-57" w:right="-57" w:hanging="0"/>
              <w:jc w:val="center"/>
              <w:rPr>
                <w:color w:val="000000"/>
                <w:sz w:val="16"/>
                <w:szCs w:val="16"/>
              </w:rPr>
            </w:pPr>
            <w:r>
              <w:rPr>
                <w:color w:val="000000"/>
                <w:sz w:val="16"/>
                <w:szCs w:val="16"/>
              </w:rPr>
            </w:r>
          </w:p>
          <w:p>
            <w:pPr>
              <w:pStyle w:val="Normal"/>
              <w:ind w:left="-57" w:right="-57" w:hanging="0"/>
              <w:jc w:val="center"/>
              <w:rPr/>
            </w:pPr>
            <w:r>
              <w:rPr>
                <w:color w:val="000000"/>
                <w:sz w:val="16"/>
                <w:szCs w:val="16"/>
              </w:rPr>
              <w:t>UP V</w:t>
            </w:r>
          </w:p>
          <w:p>
            <w:pPr>
              <w:pStyle w:val="Normal"/>
              <w:ind w:left="-57" w:right="-57" w:hanging="0"/>
              <w:jc w:val="center"/>
              <w:rPr/>
            </w:pPr>
            <w:r>
              <w:rPr>
                <w:color w:val="000000"/>
                <w:sz w:val="16"/>
                <w:szCs w:val="16"/>
              </w:rPr>
              <w:t>TR1</w:t>
            </w:r>
          </w:p>
          <w:p>
            <w:pPr>
              <w:pStyle w:val="Normal"/>
              <w:ind w:left="-57" w:right="-57" w:hanging="0"/>
              <w:jc w:val="center"/>
              <w:rPr/>
            </w:pPr>
            <w:r>
              <w:rPr>
                <w:color w:val="000000"/>
                <w:sz w:val="16"/>
                <w:szCs w:val="16"/>
              </w:rPr>
              <w:t xml:space="preserve"> </w:t>
            </w:r>
            <w:r>
              <w:rPr>
                <w:color w:val="000000"/>
                <w:sz w:val="16"/>
                <w:szCs w:val="16"/>
              </w:rPr>
              <w:t>52C</w:t>
            </w:r>
          </w:p>
          <w:p>
            <w:pPr>
              <w:pStyle w:val="Normal"/>
              <w:ind w:left="-57" w:right="-57" w:hanging="0"/>
              <w:jc w:val="center"/>
              <w:rPr>
                <w:color w:val="000000"/>
                <w:sz w:val="16"/>
                <w:szCs w:val="16"/>
              </w:rPr>
            </w:pPr>
            <w:r>
              <w:rPr>
                <w:color w:val="000000"/>
                <w:sz w:val="16"/>
                <w:szCs w:val="16"/>
              </w:rPr>
            </w:r>
          </w:p>
          <w:p>
            <w:pPr>
              <w:pStyle w:val="Normal"/>
              <w:ind w:left="-57" w:right="-57" w:hanging="0"/>
              <w:jc w:val="center"/>
              <w:rPr/>
            </w:pPr>
            <w:r>
              <w:rPr>
                <w:color w:val="000000"/>
                <w:sz w:val="16"/>
                <w:szCs w:val="16"/>
              </w:rPr>
              <w:t>TR2</w:t>
            </w:r>
          </w:p>
          <w:p>
            <w:pPr>
              <w:pStyle w:val="Normal"/>
              <w:ind w:left="-57" w:right="-57" w:hanging="0"/>
              <w:jc w:val="center"/>
              <w:rPr/>
            </w:pPr>
            <w:r>
              <w:rPr>
                <w:color w:val="000000"/>
                <w:sz w:val="16"/>
                <w:szCs w:val="16"/>
              </w:rPr>
              <w:t xml:space="preserve"> </w:t>
            </w:r>
            <w:r>
              <w:rPr>
                <w:color w:val="000000"/>
                <w:sz w:val="16"/>
                <w:szCs w:val="16"/>
              </w:rPr>
              <w:t xml:space="preserve">110E 117C </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9,26</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kern w:val="2"/>
                <w:sz w:val="16"/>
                <w:szCs w:val="16"/>
                <w:highlight w:val="yellow"/>
              </w:rPr>
            </w:pPr>
            <w:r>
              <w:rPr>
                <w:kern w:val="2"/>
                <w:sz w:val="16"/>
                <w:szCs w:val="16"/>
                <w:highlight w:val="yellow"/>
              </w:rPr>
            </w:r>
          </w:p>
          <w:p>
            <w:pPr>
              <w:pStyle w:val="Normal"/>
              <w:jc w:val="center"/>
              <w:rPr/>
            </w:pPr>
            <w:r>
              <w:rPr>
                <w:sz w:val="16"/>
                <w:szCs w:val="16"/>
              </w:rPr>
              <w:t>Lucrările se vor desfășura înafara ANPIC la 4,3 km față de ROSCI0042</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hanging="142"/>
        <w:jc w:val="right"/>
        <w:rPr/>
      </w:pPr>
      <w:r>
        <w:rPr>
          <w:color w:val="000000"/>
        </w:rPr>
        <w:t xml:space="preserve">                                                                   </w:t>
      </w:r>
      <w:r>
        <w:rPr/>
        <w:t xml:space="preserve">                                                 </w:t>
      </w:r>
    </w:p>
    <w:tbl>
      <w:tblPr>
        <w:tblW w:w="5000" w:type="pct"/>
        <w:jc w:val="center"/>
        <w:tblInd w:w="0" w:type="dxa"/>
        <w:tblCellMar>
          <w:top w:w="0" w:type="dxa"/>
          <w:left w:w="108" w:type="dxa"/>
          <w:bottom w:w="0" w:type="dxa"/>
          <w:right w:w="108" w:type="dxa"/>
        </w:tblCellMar>
        <w:tblLook w:firstRow="1" w:noVBand="1" w:lastRow="0" w:firstColumn="1" w:lastColumn="0" w:noHBand="0" w:val="04a0"/>
      </w:tblPr>
      <w:tblGrid>
        <w:gridCol w:w="514"/>
        <w:gridCol w:w="974"/>
        <w:gridCol w:w="3466"/>
        <w:gridCol w:w="1668"/>
        <w:gridCol w:w="834"/>
        <w:gridCol w:w="2187"/>
      </w:tblGrid>
      <w:tr>
        <w:trPr/>
        <w:tc>
          <w:tcPr>
            <w:tcW w:w="514"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Nr. crt</w:t>
            </w:r>
          </w:p>
        </w:tc>
        <w:tc>
          <w:tcPr>
            <w:tcW w:w="974" w:type="dxa"/>
            <w:tcBorders>
              <w:top w:val="single" w:sz="4" w:space="0" w:color="000000"/>
              <w:left w:val="single" w:sz="4" w:space="0" w:color="000000"/>
              <w:bottom w:val="single" w:sz="4" w:space="0" w:color="000000"/>
            </w:tcBorders>
            <w:vAlign w:val="center"/>
          </w:tcPr>
          <w:p>
            <w:pPr>
              <w:pStyle w:val="Normal"/>
              <w:ind w:left="-109" w:right="-108" w:hanging="0"/>
              <w:jc w:val="center"/>
              <w:rPr>
                <w:b/>
                <w:b/>
                <w:bCs/>
                <w:sz w:val="16"/>
                <w:szCs w:val="16"/>
              </w:rPr>
            </w:pPr>
            <w:r>
              <w:rPr>
                <w:b/>
                <w:bCs/>
                <w:sz w:val="16"/>
                <w:szCs w:val="16"/>
              </w:rPr>
              <w:t>Tip de intervenție</w:t>
            </w:r>
          </w:p>
        </w:tc>
        <w:tc>
          <w:tcPr>
            <w:tcW w:w="3466"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Descrierea intervențiilor principale/secundare</w:t>
            </w:r>
          </w:p>
        </w:tc>
        <w:tc>
          <w:tcPr>
            <w:tcW w:w="1668"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u.a.</w:t>
            </w:r>
          </w:p>
        </w:tc>
        <w:tc>
          <w:tcPr>
            <w:tcW w:w="834" w:type="dxa"/>
            <w:tcBorders>
              <w:top w:val="single" w:sz="4" w:space="0" w:color="000000"/>
              <w:left w:val="single" w:sz="4" w:space="0" w:color="000000"/>
              <w:bottom w:val="single" w:sz="4" w:space="0" w:color="000000"/>
            </w:tcBorders>
            <w:vAlign w:val="center"/>
          </w:tcPr>
          <w:p>
            <w:pPr>
              <w:pStyle w:val="Normal"/>
              <w:ind w:left="-108" w:right="-107" w:hanging="0"/>
              <w:jc w:val="center"/>
              <w:rPr>
                <w:b/>
                <w:b/>
                <w:bCs/>
                <w:sz w:val="16"/>
                <w:szCs w:val="16"/>
              </w:rPr>
            </w:pPr>
            <w:r>
              <w:rPr>
                <w:b/>
                <w:bCs/>
                <w:sz w:val="16"/>
                <w:szCs w:val="16"/>
              </w:rPr>
              <w:t xml:space="preserve">Suprafață </w:t>
            </w:r>
          </w:p>
          <w:p>
            <w:pPr>
              <w:pStyle w:val="Normal"/>
              <w:ind w:left="-108" w:right="-107" w:hanging="0"/>
              <w:jc w:val="center"/>
              <w:rPr>
                <w:b/>
                <w:b/>
                <w:bCs/>
                <w:sz w:val="16"/>
                <w:szCs w:val="16"/>
              </w:rPr>
            </w:pPr>
            <w:r>
              <w:rPr>
                <w:b/>
                <w:bCs/>
                <w:sz w:val="16"/>
                <w:szCs w:val="16"/>
              </w:rPr>
              <w:t>(ha)</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sz w:val="16"/>
                <w:szCs w:val="16"/>
              </w:rPr>
            </w:pPr>
            <w:r>
              <w:rPr>
                <w:b/>
                <w:bCs/>
                <w:sz w:val="16"/>
                <w:szCs w:val="16"/>
              </w:rPr>
              <w:t>Localizare față de ANPIC (distanța)</w:t>
            </w:r>
          </w:p>
        </w:tc>
      </w:tr>
      <w:tr>
        <w:trPr>
          <w:trHeight w:val="4550"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3</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Rărituri</w:t>
            </w:r>
          </w:p>
        </w:tc>
        <w:tc>
          <w:tcPr>
            <w:tcW w:w="3466" w:type="dxa"/>
            <w:tcBorders>
              <w:top w:val="single" w:sz="4" w:space="0" w:color="000000"/>
              <w:left w:val="single" w:sz="4" w:space="0" w:color="000000"/>
              <w:bottom w:val="single" w:sz="4" w:space="0" w:color="000000"/>
            </w:tcBorders>
            <w:vAlign w:val="center"/>
          </w:tcPr>
          <w:p>
            <w:pPr>
              <w:pStyle w:val="Normal"/>
              <w:jc w:val="both"/>
              <w:rPr/>
            </w:pPr>
            <w:r>
              <w:rPr>
                <w:color w:val="000000"/>
                <w:sz w:val="16"/>
                <w:szCs w:val="16"/>
              </w:rPr>
              <w:t>Răriturile reprezintă lucrările de îngrijire care se efectuează periodic în arborete, după ce acestea au realizat stadiul de păriş şi apoi în stadiile de codrişor şi codru mijlociu, prin care se reduce, prin selecţie pozitivă, numărul de exemplare la unitatea de suprafaţă, micşorându-se temporar consistenţa, în scopul ameliorării structurii, creşterii şi calităţii arboretelor şi în final a creşterii eficacităţii funcţionale a acestora. Intervalul normal de executare a răriturilor se suprapune peste marea perioadă de creştere curentă în volum, respectiv peste stadiile de păriş şi codrişor.</w:t>
            </w:r>
          </w:p>
          <w:p>
            <w:pPr>
              <w:pStyle w:val="Normal"/>
              <w:jc w:val="both"/>
              <w:rPr>
                <w:color w:val="000000"/>
                <w:sz w:val="16"/>
                <w:szCs w:val="16"/>
              </w:rPr>
            </w:pPr>
            <w:r>
              <w:rPr>
                <w:color w:val="000000"/>
                <w:sz w:val="16"/>
                <w:szCs w:val="16"/>
              </w:rPr>
              <w:t>Convenţional, se stabileşte că prima răritură se va executa atunci când arboretul realizează diametrul mediu de 10 - 12 cm şi înălţimea superioară de 10 - 12 m.</w:t>
            </w:r>
          </w:p>
          <w:p>
            <w:pPr>
              <w:pStyle w:val="Normal"/>
              <w:jc w:val="both"/>
              <w:rPr/>
            </w:pPr>
            <w:r>
              <w:rPr>
                <w:color w:val="000000"/>
                <w:sz w:val="16"/>
                <w:szCs w:val="16"/>
              </w:rPr>
              <w:t>Periodicitatea răriturilor este determinată de temperamentul speciilor ce compun arboretul, de vârsta arboretului, de bonitatea staţiunii, de intensitatea lucrării executate anterior şi de consistenţa arboretului. Răriturile se execută până la o vârstă egală cu 3/4 din vârsta exploatabilităţii tehnice. Pentru arboretele în care nu se reglementează procesul de producţie aceasta se asimilizeză cu cea tehnică.</w:t>
            </w:r>
          </w:p>
        </w:tc>
        <w:tc>
          <w:tcPr>
            <w:tcW w:w="1668" w:type="dxa"/>
            <w:tcBorders>
              <w:top w:val="single" w:sz="4" w:space="0" w:color="000000"/>
              <w:left w:val="single" w:sz="4" w:space="0" w:color="000000"/>
              <w:bottom w:val="single" w:sz="4" w:space="0" w:color="000000"/>
            </w:tcBorders>
            <w:vAlign w:val="center"/>
          </w:tcPr>
          <w:p>
            <w:pPr>
              <w:pStyle w:val="Normal"/>
              <w:ind w:right="-57" w:hanging="0"/>
              <w:jc w:val="center"/>
              <w:rPr>
                <w:sz w:val="16"/>
                <w:szCs w:val="16"/>
              </w:rPr>
            </w:pPr>
            <w:r>
              <w:rPr>
                <w:sz w:val="16"/>
                <w:szCs w:val="16"/>
              </w:rPr>
              <w:t>UP IV</w:t>
            </w:r>
          </w:p>
          <w:p>
            <w:pPr>
              <w:pStyle w:val="Normal"/>
              <w:ind w:right="-57" w:hanging="0"/>
              <w:jc w:val="center"/>
              <w:rPr>
                <w:sz w:val="16"/>
                <w:szCs w:val="16"/>
              </w:rPr>
            </w:pPr>
            <w:r>
              <w:rPr>
                <w:sz w:val="16"/>
                <w:szCs w:val="16"/>
              </w:rPr>
              <w:t>TR 1</w:t>
            </w:r>
          </w:p>
          <w:p>
            <w:pPr>
              <w:pStyle w:val="Normal"/>
              <w:ind w:right="-57" w:hanging="0"/>
              <w:jc w:val="both"/>
              <w:rPr>
                <w:color w:val="000000"/>
                <w:sz w:val="16"/>
                <w:szCs w:val="16"/>
              </w:rPr>
            </w:pPr>
            <w:r>
              <w:rPr>
                <w:color w:val="000000"/>
                <w:sz w:val="16"/>
                <w:szCs w:val="16"/>
              </w:rPr>
              <w:t>18B, 20B,  21B,  59E,  60, 61, 90E, 92D,  97c</w:t>
            </w:r>
          </w:p>
          <w:p>
            <w:pPr>
              <w:pStyle w:val="Normal"/>
              <w:ind w:right="-57" w:hanging="0"/>
              <w:jc w:val="both"/>
              <w:rPr>
                <w:color w:val="000000"/>
                <w:sz w:val="16"/>
                <w:szCs w:val="16"/>
              </w:rPr>
            </w:pPr>
            <w:r>
              <w:rPr>
                <w:color w:val="000000"/>
                <w:sz w:val="16"/>
                <w:szCs w:val="16"/>
              </w:rPr>
            </w:r>
          </w:p>
          <w:p>
            <w:pPr>
              <w:pStyle w:val="Normal"/>
              <w:ind w:right="-57" w:hanging="0"/>
              <w:jc w:val="center"/>
              <w:rPr>
                <w:sz w:val="16"/>
                <w:szCs w:val="16"/>
              </w:rPr>
            </w:pPr>
            <w:r>
              <w:rPr>
                <w:sz w:val="16"/>
                <w:szCs w:val="16"/>
              </w:rPr>
              <w:t xml:space="preserve">UP V </w:t>
            </w:r>
          </w:p>
          <w:p>
            <w:pPr>
              <w:pStyle w:val="Normal"/>
              <w:ind w:right="-57" w:hanging="0"/>
              <w:jc w:val="center"/>
              <w:rPr>
                <w:sz w:val="16"/>
                <w:szCs w:val="16"/>
              </w:rPr>
            </w:pPr>
            <w:r>
              <w:rPr>
                <w:sz w:val="16"/>
                <w:szCs w:val="16"/>
              </w:rPr>
              <w:t>TR 2</w:t>
            </w:r>
          </w:p>
          <w:p>
            <w:pPr>
              <w:pStyle w:val="Normal"/>
              <w:ind w:right="-57" w:hanging="0"/>
              <w:jc w:val="center"/>
              <w:rPr>
                <w:sz w:val="16"/>
                <w:szCs w:val="16"/>
              </w:rPr>
            </w:pPr>
            <w:r>
              <w:rPr>
                <w:sz w:val="16"/>
                <w:szCs w:val="16"/>
              </w:rPr>
              <w:t>ua 48</w:t>
            </w:r>
          </w:p>
          <w:p>
            <w:pPr>
              <w:pStyle w:val="Normal"/>
              <w:ind w:right="-57" w:hanging="0"/>
              <w:jc w:val="center"/>
              <w:rPr>
                <w:sz w:val="16"/>
                <w:szCs w:val="16"/>
              </w:rPr>
            </w:pPr>
            <w:r>
              <w:rPr>
                <w:sz w:val="16"/>
                <w:szCs w:val="16"/>
              </w:rPr>
            </w:r>
          </w:p>
          <w:p>
            <w:pPr>
              <w:pStyle w:val="Normal"/>
              <w:ind w:right="-57" w:hanging="0"/>
              <w:jc w:val="center"/>
              <w:rPr>
                <w:sz w:val="16"/>
                <w:szCs w:val="16"/>
              </w:rPr>
            </w:pPr>
            <w:r>
              <w:rPr>
                <w:sz w:val="16"/>
                <w:szCs w:val="16"/>
              </w:rPr>
            </w:r>
          </w:p>
          <w:p>
            <w:pPr>
              <w:pStyle w:val="Normal"/>
              <w:ind w:right="-57" w:hanging="0"/>
              <w:jc w:val="center"/>
              <w:rPr>
                <w:sz w:val="16"/>
                <w:szCs w:val="16"/>
              </w:rPr>
            </w:pPr>
            <w:r>
              <w:rPr>
                <w:sz w:val="16"/>
                <w:szCs w:val="16"/>
              </w:rPr>
              <w:t>UPIV</w:t>
            </w:r>
          </w:p>
          <w:p>
            <w:pPr>
              <w:pStyle w:val="Normal"/>
              <w:ind w:right="-57" w:hanging="0"/>
              <w:jc w:val="center"/>
              <w:rPr>
                <w:sz w:val="16"/>
                <w:szCs w:val="16"/>
              </w:rPr>
            </w:pPr>
            <w:r>
              <w:rPr>
                <w:sz w:val="16"/>
                <w:szCs w:val="16"/>
              </w:rPr>
              <w:t>TR1</w:t>
            </w:r>
          </w:p>
          <w:p>
            <w:pPr>
              <w:pStyle w:val="Normal"/>
              <w:ind w:right="-57" w:hanging="0"/>
              <w:jc w:val="both"/>
              <w:rPr>
                <w:sz w:val="14"/>
                <w:szCs w:val="14"/>
              </w:rPr>
            </w:pPr>
            <w:r>
              <w:rPr>
                <w:color w:val="000000"/>
                <w:sz w:val="14"/>
                <w:szCs w:val="14"/>
              </w:rPr>
              <w:t xml:space="preserve">3A,4A,5A,8,22,23A,23C,24A,24D,25A,25B,25C,26B,26C,26E,26F,27A,27B,27C,27D,27E,27F,27G,27I,28,32A,51A, 51B,51C, 52A, 52B, 52C, 53A, 53B, 53C, 54A, 54B, 55A, 55B, 55C, 56A, 56B, 56C, 57A, 57B, 59B, 62, 63, 64A, 64B, 65, 76A,87A, 87C, 87D, 88A, 88B, 88C, 89A, 89B, 89C, 90A, 90B, 90D,, 99D, 99E, 99I, 99J, 100A, 100B, 100C, 100D, 101A, 101B, 102B, 103A, 104A, </w:t>
            </w:r>
          </w:p>
          <w:p>
            <w:pPr>
              <w:pStyle w:val="Normal"/>
              <w:ind w:right="-57" w:hanging="0"/>
              <w:jc w:val="center"/>
              <w:rPr>
                <w:sz w:val="16"/>
                <w:szCs w:val="16"/>
              </w:rPr>
            </w:pPr>
            <w:r>
              <w:rPr>
                <w:sz w:val="16"/>
                <w:szCs w:val="16"/>
              </w:rPr>
              <w:t>UP V</w:t>
            </w:r>
          </w:p>
          <w:p>
            <w:pPr>
              <w:pStyle w:val="Normal"/>
              <w:ind w:right="-57" w:hanging="0"/>
              <w:jc w:val="center"/>
              <w:rPr>
                <w:sz w:val="16"/>
                <w:szCs w:val="16"/>
              </w:rPr>
            </w:pPr>
            <w:r>
              <w:rPr>
                <w:sz w:val="16"/>
                <w:szCs w:val="16"/>
              </w:rPr>
              <w:t>TR 1</w:t>
            </w:r>
          </w:p>
          <w:p>
            <w:pPr>
              <w:pStyle w:val="Normal"/>
              <w:ind w:right="-57" w:hanging="0"/>
              <w:jc w:val="both"/>
              <w:rPr>
                <w:sz w:val="14"/>
                <w:szCs w:val="14"/>
              </w:rPr>
            </w:pPr>
            <w:r>
              <w:rPr>
                <w:color w:val="000000"/>
                <w:sz w:val="14"/>
                <w:szCs w:val="14"/>
              </w:rPr>
              <w:t>C,14C,14E,14F,14G,15B,15D,16A,16B,17A,17D,19A,19B,20A,,20C,21A, 90E, 91A, 91C, 91D, 92C,, 93A, 93C, 94B, 95A, 95B, 95E, 96A, 96B, 97A, 98A, 98B,   99A, 99B</w:t>
            </w:r>
          </w:p>
          <w:p>
            <w:pPr>
              <w:pStyle w:val="Normal"/>
              <w:ind w:right="-57" w:hanging="0"/>
              <w:jc w:val="center"/>
              <w:rPr>
                <w:sz w:val="16"/>
                <w:szCs w:val="16"/>
              </w:rPr>
            </w:pPr>
            <w:r>
              <w:rPr>
                <w:sz w:val="16"/>
                <w:szCs w:val="16"/>
              </w:rPr>
              <w:t>TR2</w:t>
            </w:r>
          </w:p>
          <w:p>
            <w:pPr>
              <w:pStyle w:val="Normal"/>
              <w:ind w:right="-57" w:hanging="0"/>
              <w:jc w:val="both"/>
              <w:rPr>
                <w:sz w:val="14"/>
                <w:szCs w:val="14"/>
              </w:rPr>
            </w:pPr>
            <w:r>
              <w:rPr>
                <w:color w:val="000000"/>
                <w:sz w:val="14"/>
                <w:szCs w:val="14"/>
              </w:rPr>
              <w:t>105A, 106A, 106B, 106C, 107A, 107B, 108B, 108C, 108D, 109D, 110A, 110D, 111A, 112C, 112D, 113D.</w:t>
            </w:r>
          </w:p>
        </w:tc>
        <w:tc>
          <w:tcPr>
            <w:tcW w:w="83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89.20</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37.20</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rFonts w:ascii="Times New Roman" w:hAnsi="Times New Roman" w:eastAsia="Times New Roman" w:cs="Times New Roman"/>
                <w:color w:val="000000"/>
                <w:kern w:val="0"/>
                <w:sz w:val="16"/>
                <w:szCs w:val="16"/>
                <w:lang w:val="en-US" w:eastAsia="zh-CN" w:bidi="ar-SA"/>
              </w:rPr>
            </w:pPr>
            <w:r>
              <w:rPr>
                <w:rFonts w:eastAsia="Times New Roman" w:cs="Times New Roman"/>
                <w:color w:val="000000"/>
                <w:kern w:val="0"/>
                <w:sz w:val="16"/>
                <w:szCs w:val="16"/>
                <w:lang w:val="en-US" w:eastAsia="zh-CN" w:bidi="ar-SA"/>
              </w:rPr>
              <w:t>576.09</w:t>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t>220.15</w:t>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t>160.45</w:t>
            </w:r>
          </w:p>
          <w:p>
            <w:pPr>
              <w:pStyle w:val="Normal"/>
              <w:jc w:val="center"/>
              <w:rPr>
                <w:rFonts w:ascii="Times New Roman" w:hAnsi="Times New Roman" w:eastAsia="Times New Roman" w:cs="Times New Roman"/>
                <w:color w:val="000000"/>
                <w:sz w:val="16"/>
                <w:szCs w:val="16"/>
                <w:lang w:bidi="ar-SA"/>
              </w:rPr>
            </w:pPr>
            <w:r>
              <w:rPr>
                <w:rFonts w:eastAsia="Times New Roman" w:cs="Times New Roman"/>
                <w:color w:val="000000"/>
                <w:sz w:val="16"/>
                <w:szCs w:val="16"/>
                <w:lang w:bidi="ar-SA"/>
              </w:rPr>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kern w:val="2"/>
                <w:sz w:val="16"/>
                <w:szCs w:val="16"/>
              </w:rPr>
            </w:pPr>
            <w:r>
              <w:rPr>
                <w:kern w:val="2"/>
                <w:sz w:val="16"/>
                <w:szCs w:val="16"/>
              </w:rPr>
            </w:r>
          </w:p>
          <w:p>
            <w:pPr>
              <w:pStyle w:val="Normal"/>
              <w:jc w:val="center"/>
              <w:rPr/>
            </w:pPr>
            <w:r>
              <w:rPr>
                <w:kern w:val="2"/>
                <w:sz w:val="16"/>
                <w:szCs w:val="16"/>
              </w:rPr>
              <w:t xml:space="preserve">In aceste unitati amenajistice care se suprapun partial cu Situl natura 2000 ROSCI 0042 – Codru Moma, se vor efectua lucrarile de tipul de interventie mentionat la coloana nr. 2 </w:t>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TableParagraph"/>
              <w:ind w:left="31" w:hanging="0"/>
              <w:jc w:val="center"/>
              <w:rPr/>
            </w:pPr>
            <w:r>
              <w:rPr>
                <w:sz w:val="16"/>
                <w:szCs w:val="16"/>
              </w:rPr>
              <w:t>Acetste unități amenajistice nu se suprapun cu Situl Natura 2000 ROSCI0042 – Codu Moma, dar se vor efectua  lucrări și acestea vor fi în afara ANPIC la distanța medie de 4,0 km față de ROSCI0042</w:t>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pPr>
            <w:r>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color w:val="FF0000"/>
                <w:sz w:val="16"/>
                <w:szCs w:val="16"/>
              </w:rPr>
            </w:pPr>
            <w:r>
              <w:rPr>
                <w:color w:val="FF0000"/>
                <w:sz w:val="16"/>
                <w:szCs w:val="16"/>
              </w:rPr>
            </w:r>
          </w:p>
        </w:tc>
      </w:tr>
      <w:tr>
        <w:trPr>
          <w:trHeight w:val="2435"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4</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Tăieri de igienă</w:t>
            </w:r>
          </w:p>
        </w:tc>
        <w:tc>
          <w:tcPr>
            <w:tcW w:w="3466" w:type="dxa"/>
            <w:tcBorders>
              <w:top w:val="single" w:sz="4" w:space="0" w:color="000000"/>
              <w:left w:val="single" w:sz="4" w:space="0" w:color="000000"/>
              <w:bottom w:val="single" w:sz="4" w:space="0" w:color="000000"/>
            </w:tcBorders>
            <w:vAlign w:val="center"/>
          </w:tcPr>
          <w:p>
            <w:pPr>
              <w:pStyle w:val="Normal"/>
              <w:jc w:val="both"/>
              <w:rPr/>
            </w:pPr>
            <w:r>
              <w:rPr>
                <w:color w:val="000000"/>
                <w:sz w:val="16"/>
                <w:szCs w:val="16"/>
              </w:rPr>
              <w:t xml:space="preserve">Prin tăieri de igienă se urmăreşte extragerea arborilor uscaţi sau în curs de uscare, vătămaţi, rupţi sau doborâţi de vânt şi zăpadă şi care - prin păstrarea lor în arboret - ar putea deveni focare de infestare sau de izbucnire a unor incendii, </w:t>
            </w:r>
            <w:r>
              <w:rPr>
                <w:b/>
                <w:bCs/>
                <w:i/>
                <w:iCs/>
                <w:color w:val="000000"/>
                <w:sz w:val="16"/>
                <w:szCs w:val="16"/>
              </w:rPr>
              <w:t>fără ca prin aceste lucrări să se restrângă biodiversitatea pădurilor</w:t>
            </w:r>
            <w:r>
              <w:rPr>
                <w:color w:val="000000"/>
                <w:sz w:val="16"/>
                <w:szCs w:val="16"/>
              </w:rPr>
              <w:t>.</w:t>
            </w:r>
          </w:p>
          <w:p>
            <w:pPr>
              <w:pStyle w:val="Normal"/>
              <w:jc w:val="both"/>
              <w:rPr>
                <w:color w:val="000000"/>
                <w:sz w:val="16"/>
                <w:szCs w:val="16"/>
              </w:rPr>
            </w:pPr>
            <w:r>
              <w:rPr>
                <w:color w:val="000000"/>
                <w:sz w:val="16"/>
                <w:szCs w:val="16"/>
              </w:rPr>
              <w:t>Volumul de extras (intensitatea) prin tăieri de igienă nu depăşeşte 1,0 mc/an/ha, calculat la nivel de unitate amenajistică (arboret) şi intervenţie.</w:t>
            </w:r>
          </w:p>
          <w:p>
            <w:pPr>
              <w:pStyle w:val="Normal"/>
              <w:jc w:val="both"/>
              <w:rPr/>
            </w:pPr>
            <w:r>
              <w:rPr>
                <w:color w:val="000000"/>
                <w:sz w:val="16"/>
                <w:szCs w:val="16"/>
              </w:rPr>
              <w:t>Este interzisă executarea tăierilor de igienă în arboretele din ANPIC, dacă prin aceasta sunt vizate obiectivele de conservare care au stat la baza desemnării ariei naturale protejate.</w:t>
            </w:r>
          </w:p>
        </w:tc>
        <w:tc>
          <w:tcPr>
            <w:tcW w:w="1668" w:type="dxa"/>
            <w:tcBorders>
              <w:top w:val="single" w:sz="4" w:space="0" w:color="000000"/>
              <w:left w:val="single" w:sz="4" w:space="0" w:color="000000"/>
              <w:bottom w:val="single" w:sz="4" w:space="0" w:color="000000"/>
            </w:tcBorders>
            <w:vAlign w:val="center"/>
          </w:tcPr>
          <w:p>
            <w:pPr>
              <w:pStyle w:val="Normal"/>
              <w:jc w:val="center"/>
              <w:rPr>
                <w:sz w:val="16"/>
                <w:szCs w:val="16"/>
              </w:rPr>
            </w:pPr>
            <w:r>
              <w:rPr>
                <w:sz w:val="16"/>
                <w:szCs w:val="16"/>
              </w:rPr>
              <w:t>UP IV</w:t>
            </w:r>
          </w:p>
          <w:p>
            <w:pPr>
              <w:pStyle w:val="Normal"/>
              <w:jc w:val="center"/>
              <w:rPr>
                <w:sz w:val="16"/>
                <w:szCs w:val="16"/>
              </w:rPr>
            </w:pPr>
            <w:r>
              <w:rPr>
                <w:sz w:val="16"/>
                <w:szCs w:val="16"/>
              </w:rPr>
              <w:t>TR 1</w:t>
            </w:r>
          </w:p>
          <w:p>
            <w:pPr>
              <w:pStyle w:val="Normal"/>
              <w:jc w:val="center"/>
              <w:rPr>
                <w:sz w:val="16"/>
                <w:szCs w:val="16"/>
              </w:rPr>
            </w:pPr>
            <w:r>
              <w:rPr>
                <w:sz w:val="16"/>
                <w:szCs w:val="16"/>
              </w:rPr>
              <w:t>58A, 91B, 92E, 95F, 96C, 97B, 104B</w:t>
            </w:r>
          </w:p>
          <w:p>
            <w:pPr>
              <w:pStyle w:val="Normal"/>
              <w:jc w:val="center"/>
              <w:rPr>
                <w:sz w:val="8"/>
                <w:szCs w:val="8"/>
              </w:rPr>
            </w:pPr>
            <w:r>
              <w:rPr>
                <w:sz w:val="8"/>
                <w:szCs w:val="8"/>
              </w:rPr>
            </w:r>
          </w:p>
          <w:p>
            <w:pPr>
              <w:pStyle w:val="Normal"/>
              <w:jc w:val="center"/>
              <w:rPr>
                <w:sz w:val="16"/>
                <w:szCs w:val="16"/>
              </w:rPr>
            </w:pPr>
            <w:r>
              <w:rPr>
                <w:sz w:val="16"/>
                <w:szCs w:val="16"/>
              </w:rPr>
              <w:t>UP IV</w:t>
            </w:r>
          </w:p>
          <w:p>
            <w:pPr>
              <w:pStyle w:val="Normal"/>
              <w:jc w:val="center"/>
              <w:rPr>
                <w:sz w:val="16"/>
                <w:szCs w:val="16"/>
              </w:rPr>
            </w:pPr>
            <w:r>
              <w:rPr>
                <w:sz w:val="16"/>
                <w:szCs w:val="16"/>
              </w:rPr>
              <w:t>TR 1</w:t>
            </w:r>
          </w:p>
          <w:p>
            <w:pPr>
              <w:pStyle w:val="Normal"/>
              <w:rPr>
                <w:sz w:val="16"/>
                <w:szCs w:val="16"/>
              </w:rPr>
            </w:pPr>
            <w:r>
              <w:rPr>
                <w:sz w:val="16"/>
                <w:szCs w:val="16"/>
              </w:rPr>
              <w:t>1A, 1B, 1C, 2A, 2B, 3B, 4B, 4C, 5B, 6A, 6B, 6C, 6D, 7A, 7B,</w:t>
            </w:r>
          </w:p>
          <w:p>
            <w:pPr>
              <w:pStyle w:val="Normal"/>
              <w:rPr>
                <w:sz w:val="8"/>
                <w:szCs w:val="8"/>
              </w:rPr>
            </w:pPr>
            <w:r>
              <w:rPr>
                <w:sz w:val="8"/>
                <w:szCs w:val="8"/>
              </w:rPr>
            </w:r>
          </w:p>
          <w:p>
            <w:pPr>
              <w:pStyle w:val="Normal"/>
              <w:jc w:val="center"/>
              <w:rPr>
                <w:sz w:val="16"/>
                <w:szCs w:val="16"/>
              </w:rPr>
            </w:pPr>
            <w:r>
              <w:rPr>
                <w:sz w:val="16"/>
                <w:szCs w:val="16"/>
              </w:rPr>
              <w:t>UP V</w:t>
            </w:r>
          </w:p>
          <w:p>
            <w:pPr>
              <w:pStyle w:val="Normal"/>
              <w:jc w:val="center"/>
              <w:rPr>
                <w:sz w:val="16"/>
                <w:szCs w:val="16"/>
              </w:rPr>
            </w:pPr>
            <w:r>
              <w:rPr>
                <w:sz w:val="16"/>
                <w:szCs w:val="16"/>
              </w:rPr>
              <w:t>TR 1</w:t>
            </w:r>
          </w:p>
          <w:p>
            <w:pPr>
              <w:pStyle w:val="Normal"/>
              <w:jc w:val="center"/>
              <w:rPr>
                <w:sz w:val="14"/>
                <w:szCs w:val="14"/>
              </w:rPr>
            </w:pPr>
            <w:r>
              <w:rPr>
                <w:sz w:val="14"/>
                <w:szCs w:val="14"/>
              </w:rPr>
              <w:t>8A, 8B, 8D, 8E, 9A, 9B, 9C, 9D, 10A,10B, 10C, 11A, 11B, 11C, 11D, 12A, 12B, 12C, 12D, 12E, 13A, 13B, 13C, 13D, 13E, 14A, 14B, 14D, 15A, 15C, 16D, 17B, 17C, 18A, 23B, 24B, 24C, 26A, 26D, 27J, 53D,, 88D, 88E, 91B, 92A,, 94A, 95C, 95F, 97C, 99C, 99G, 99H</w:t>
            </w:r>
          </w:p>
          <w:p>
            <w:pPr>
              <w:pStyle w:val="Normal"/>
              <w:jc w:val="center"/>
              <w:rPr>
                <w:sz w:val="8"/>
                <w:szCs w:val="8"/>
              </w:rPr>
            </w:pPr>
            <w:r>
              <w:rPr>
                <w:sz w:val="8"/>
                <w:szCs w:val="8"/>
              </w:rPr>
            </w:r>
          </w:p>
          <w:p>
            <w:pPr>
              <w:pStyle w:val="Normal"/>
              <w:jc w:val="center"/>
              <w:rPr>
                <w:sz w:val="16"/>
                <w:szCs w:val="16"/>
              </w:rPr>
            </w:pPr>
            <w:r>
              <w:rPr>
                <w:sz w:val="16"/>
                <w:szCs w:val="16"/>
              </w:rPr>
              <w:t>UP V</w:t>
            </w:r>
          </w:p>
          <w:p>
            <w:pPr>
              <w:pStyle w:val="Normal"/>
              <w:jc w:val="center"/>
              <w:rPr>
                <w:sz w:val="16"/>
                <w:szCs w:val="16"/>
              </w:rPr>
            </w:pPr>
            <w:r>
              <w:rPr>
                <w:sz w:val="16"/>
                <w:szCs w:val="16"/>
              </w:rPr>
              <w:t>TR 2</w:t>
            </w:r>
          </w:p>
          <w:p>
            <w:pPr>
              <w:pStyle w:val="Normal"/>
              <w:rPr>
                <w:sz w:val="16"/>
                <w:szCs w:val="16"/>
              </w:rPr>
            </w:pPr>
            <w:r>
              <w:rPr>
                <w:sz w:val="16"/>
                <w:szCs w:val="16"/>
              </w:rPr>
              <w:t xml:space="preserve"> </w:t>
            </w:r>
            <w:r>
              <w:rPr>
                <w:sz w:val="14"/>
                <w:szCs w:val="14"/>
              </w:rPr>
              <w:t xml:space="preserve">100E, 101C, 101D, 102C, 103B, 105B, 108A, 109A, 109B, 110C, 110F, 111D, 112A, 112B, 113A, 117A, 117B. </w:t>
            </w:r>
          </w:p>
        </w:tc>
        <w:tc>
          <w:tcPr>
            <w:tcW w:w="83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70.4</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180.25</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820.68</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rFonts w:ascii="Times New Roman" w:hAnsi="Times New Roman" w:eastAsia="Times New Roman" w:cs="Times New Roman"/>
                <w:color w:val="000000"/>
                <w:kern w:val="0"/>
                <w:sz w:val="16"/>
                <w:szCs w:val="16"/>
                <w:lang w:val="en-US" w:eastAsia="zh-CN" w:bidi="ar-SA"/>
              </w:rPr>
            </w:pPr>
            <w:r>
              <w:rPr>
                <w:rFonts w:eastAsia="Times New Roman" w:cs="Times New Roman"/>
                <w:color w:val="000000"/>
                <w:kern w:val="0"/>
                <w:sz w:val="16"/>
                <w:szCs w:val="16"/>
                <w:lang w:val="en-US" w:eastAsia="zh-CN" w:bidi="ar-SA"/>
              </w:rPr>
              <w:t>824.58</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kern w:val="2"/>
                <w:sz w:val="16"/>
                <w:szCs w:val="16"/>
              </w:rPr>
              <w:t xml:space="preserve">In aceste unitati amenajistice care se suprapun partial cu Situl natura 2000 ROSCI 0042 – Codru Moma, se vor efectua lucrarile de tipul de interventie mentionat la coloana nr. 2 </w:t>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kern w:val="2"/>
                <w:sz w:val="16"/>
                <w:szCs w:val="16"/>
                <w:highlight w:val="yellow"/>
              </w:rPr>
            </w:pPr>
            <w:r>
              <w:rPr>
                <w:kern w:val="2"/>
                <w:sz w:val="16"/>
                <w:szCs w:val="16"/>
                <w:highlight w:val="yellow"/>
              </w:rPr>
            </w:r>
          </w:p>
          <w:p>
            <w:pPr>
              <w:pStyle w:val="Normal"/>
              <w:jc w:val="center"/>
              <w:rPr/>
            </w:pPr>
            <w:r>
              <w:rPr>
                <w:sz w:val="16"/>
                <w:szCs w:val="16"/>
              </w:rPr>
              <w:t>Aceste unitati amenajistice nu se suprapun cu Situl Natura 2000 ROSCI0042 – Codru Moma iar lucrările se vor desfășura în afara ANPIC la distanța medie de 4,5 km față de ROSCI0042</w:t>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tc>
      </w:tr>
    </w:tbl>
    <w:p>
      <w:pPr>
        <w:pStyle w:val="Normal"/>
        <w:ind w:hanging="0"/>
        <w:jc w:val="right"/>
        <w:rPr>
          <w:color w:val="000000"/>
        </w:rPr>
      </w:pPr>
      <w:r>
        <w:rPr>
          <w:color w:val="000000"/>
        </w:rPr>
      </w:r>
    </w:p>
    <w:p>
      <w:pPr>
        <w:pStyle w:val="Normal"/>
        <w:ind w:hanging="0"/>
        <w:jc w:val="right"/>
        <w:rPr>
          <w:color w:val="000000"/>
        </w:rPr>
      </w:pPr>
      <w:r>
        <w:rPr/>
      </w:r>
    </w:p>
    <w:p>
      <w:pPr>
        <w:pStyle w:val="Normal"/>
        <w:ind w:hanging="0"/>
        <w:jc w:val="right"/>
        <w:rPr/>
      </w:pPr>
      <w:r>
        <w:rPr>
          <w:color w:val="000000"/>
        </w:rPr>
        <w:t xml:space="preserve">                                                </w:t>
      </w:r>
    </w:p>
    <w:p>
      <w:pPr>
        <w:pStyle w:val="Normal"/>
        <w:ind w:hanging="0"/>
        <w:jc w:val="right"/>
        <w:rPr>
          <w:color w:val="000000"/>
        </w:rPr>
      </w:pPr>
      <w:r>
        <w:rPr>
          <w:color w:val="000000"/>
        </w:rPr>
      </w:r>
    </w:p>
    <w:p>
      <w:pPr>
        <w:pStyle w:val="Normal"/>
        <w:ind w:hanging="0"/>
        <w:jc w:val="right"/>
        <w:rPr/>
      </w:pPr>
      <w:r>
        <w:rPr>
          <w:color w:val="000000"/>
        </w:rPr>
        <w:t xml:space="preserve">  </w:t>
      </w:r>
      <w:r>
        <w:rPr/>
        <w:t xml:space="preserve">Tabelul </w:t>
      </w:r>
      <w:r>
        <w:rPr>
          <w:rFonts w:eastAsia="Times New Roman" w:cs="Times New Roman"/>
          <w:color w:val="auto"/>
          <w:kern w:val="0"/>
          <w:sz w:val="24"/>
          <w:szCs w:val="24"/>
          <w:lang w:val="ro-RO" w:eastAsia="zh-CN" w:bidi="ar-SA"/>
        </w:rPr>
        <w:t>nr. 1</w:t>
      </w:r>
    </w:p>
    <w:tbl>
      <w:tblPr>
        <w:tblW w:w="5000" w:type="pct"/>
        <w:jc w:val="center"/>
        <w:tblInd w:w="0" w:type="dxa"/>
        <w:tblCellMar>
          <w:top w:w="0" w:type="dxa"/>
          <w:left w:w="108" w:type="dxa"/>
          <w:bottom w:w="0" w:type="dxa"/>
          <w:right w:w="108" w:type="dxa"/>
        </w:tblCellMar>
        <w:tblLook w:firstRow="1" w:noVBand="1" w:lastRow="0" w:firstColumn="1" w:lastColumn="0" w:noHBand="0" w:val="04a0"/>
      </w:tblPr>
      <w:tblGrid>
        <w:gridCol w:w="514"/>
        <w:gridCol w:w="974"/>
        <w:gridCol w:w="3466"/>
        <w:gridCol w:w="1667"/>
        <w:gridCol w:w="835"/>
        <w:gridCol w:w="2187"/>
      </w:tblGrid>
      <w:tr>
        <w:trPr/>
        <w:tc>
          <w:tcPr>
            <w:tcW w:w="514"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Nr. crt</w:t>
            </w:r>
          </w:p>
        </w:tc>
        <w:tc>
          <w:tcPr>
            <w:tcW w:w="974" w:type="dxa"/>
            <w:tcBorders>
              <w:top w:val="single" w:sz="4" w:space="0" w:color="000000"/>
              <w:left w:val="single" w:sz="4" w:space="0" w:color="000000"/>
              <w:bottom w:val="single" w:sz="4" w:space="0" w:color="000000"/>
            </w:tcBorders>
            <w:vAlign w:val="center"/>
          </w:tcPr>
          <w:p>
            <w:pPr>
              <w:pStyle w:val="Normal"/>
              <w:ind w:left="-109" w:right="-108" w:hanging="0"/>
              <w:jc w:val="center"/>
              <w:rPr>
                <w:b/>
                <w:b/>
                <w:bCs/>
                <w:sz w:val="16"/>
                <w:szCs w:val="16"/>
              </w:rPr>
            </w:pPr>
            <w:r>
              <w:rPr>
                <w:b/>
                <w:bCs/>
                <w:sz w:val="16"/>
                <w:szCs w:val="16"/>
              </w:rPr>
              <w:t>Tip de intervenție</w:t>
            </w:r>
          </w:p>
        </w:tc>
        <w:tc>
          <w:tcPr>
            <w:tcW w:w="3466"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Descrierea intervențiilor principale/secundare</w:t>
            </w:r>
          </w:p>
        </w:tc>
        <w:tc>
          <w:tcPr>
            <w:tcW w:w="1667" w:type="dxa"/>
            <w:tcBorders>
              <w:top w:val="single" w:sz="4" w:space="0" w:color="000000"/>
              <w:left w:val="single" w:sz="4" w:space="0" w:color="000000"/>
              <w:bottom w:val="single" w:sz="4" w:space="0" w:color="000000"/>
            </w:tcBorders>
            <w:vAlign w:val="center"/>
          </w:tcPr>
          <w:p>
            <w:pPr>
              <w:pStyle w:val="Normal"/>
              <w:jc w:val="center"/>
              <w:rPr>
                <w:b/>
                <w:b/>
                <w:bCs/>
                <w:sz w:val="16"/>
                <w:szCs w:val="16"/>
              </w:rPr>
            </w:pPr>
            <w:r>
              <w:rPr>
                <w:b/>
                <w:bCs/>
                <w:sz w:val="16"/>
                <w:szCs w:val="16"/>
              </w:rPr>
              <w:t>u.a.</w:t>
            </w:r>
          </w:p>
        </w:tc>
        <w:tc>
          <w:tcPr>
            <w:tcW w:w="835" w:type="dxa"/>
            <w:tcBorders>
              <w:top w:val="single" w:sz="4" w:space="0" w:color="000000"/>
              <w:left w:val="single" w:sz="4" w:space="0" w:color="000000"/>
              <w:bottom w:val="single" w:sz="4" w:space="0" w:color="000000"/>
            </w:tcBorders>
            <w:vAlign w:val="center"/>
          </w:tcPr>
          <w:p>
            <w:pPr>
              <w:pStyle w:val="Normal"/>
              <w:ind w:left="-108" w:right="-107" w:hanging="0"/>
              <w:jc w:val="center"/>
              <w:rPr>
                <w:b/>
                <w:b/>
                <w:bCs/>
                <w:sz w:val="16"/>
                <w:szCs w:val="16"/>
              </w:rPr>
            </w:pPr>
            <w:r>
              <w:rPr>
                <w:b/>
                <w:bCs/>
                <w:sz w:val="16"/>
                <w:szCs w:val="16"/>
              </w:rPr>
              <w:t xml:space="preserve">Suprafață </w:t>
            </w:r>
          </w:p>
          <w:p>
            <w:pPr>
              <w:pStyle w:val="Normal"/>
              <w:ind w:left="-108" w:right="-107" w:hanging="0"/>
              <w:jc w:val="center"/>
              <w:rPr>
                <w:b/>
                <w:b/>
                <w:bCs/>
                <w:sz w:val="16"/>
                <w:szCs w:val="16"/>
              </w:rPr>
            </w:pPr>
            <w:r>
              <w:rPr>
                <w:b/>
                <w:bCs/>
                <w:sz w:val="16"/>
                <w:szCs w:val="16"/>
              </w:rPr>
              <w:t>(ha)</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sz w:val="16"/>
                <w:szCs w:val="16"/>
              </w:rPr>
            </w:pPr>
            <w:r>
              <w:rPr>
                <w:b/>
                <w:bCs/>
                <w:sz w:val="16"/>
                <w:szCs w:val="16"/>
              </w:rPr>
              <w:t>Localizare față de ANPIC (distanța)</w:t>
            </w:r>
          </w:p>
        </w:tc>
      </w:tr>
      <w:tr>
        <w:trPr>
          <w:trHeight w:val="3774"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5</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Tăieri progresive</w:t>
            </w:r>
          </w:p>
        </w:tc>
        <w:tc>
          <w:tcPr>
            <w:tcW w:w="3466" w:type="dxa"/>
            <w:tcBorders>
              <w:top w:val="single" w:sz="4" w:space="0" w:color="000000"/>
              <w:left w:val="single" w:sz="4" w:space="0" w:color="000000"/>
              <w:bottom w:val="single" w:sz="4" w:space="0" w:color="000000"/>
            </w:tcBorders>
            <w:vAlign w:val="center"/>
          </w:tcPr>
          <w:p>
            <w:pPr>
              <w:pStyle w:val="Normal"/>
              <w:jc w:val="both"/>
              <w:rPr/>
            </w:pPr>
            <w:r>
              <w:rPr>
                <w:color w:val="000000"/>
                <w:sz w:val="16"/>
                <w:szCs w:val="16"/>
              </w:rPr>
              <w:t xml:space="preserve">Acest tip de tratament constă în aplicarea de tăieri repetate neuniforme, concentrate în anumite ochiuri, împrăştiate neregulat în cuprinsul arboretelor exploatabile, urmărindu-se instalarea şi dezvoltarea seminţişului natural sub masiv, până ce se va constitui noul arboret. </w:t>
            </w:r>
          </w:p>
          <w:p>
            <w:pPr>
              <w:pStyle w:val="Normal"/>
              <w:jc w:val="both"/>
              <w:rPr/>
            </w:pPr>
            <w:r>
              <w:rPr>
                <w:color w:val="000000"/>
                <w:sz w:val="16"/>
                <w:szCs w:val="16"/>
              </w:rPr>
              <w:t>În principiu, tăierile progresive urmăresc realizarea obiectivului regenerării naturale sub masiv prin doua modalităţi:</w:t>
            </w:r>
          </w:p>
          <w:p>
            <w:pPr>
              <w:pStyle w:val="Normal"/>
              <w:jc w:val="both"/>
              <w:rPr>
                <w:color w:val="000000"/>
                <w:sz w:val="16"/>
                <w:szCs w:val="16"/>
              </w:rPr>
            </w:pPr>
            <w:r>
              <w:rPr>
                <w:color w:val="000000"/>
                <w:sz w:val="16"/>
                <w:szCs w:val="16"/>
              </w:rPr>
              <w:t>- punerea treptată în lumină a seminţişurilor utilizabile existente precum şi a celor instalate artificial prin semănături sau plantaţii sub masiv sau în margine de masiv;</w:t>
            </w:r>
          </w:p>
          <w:p>
            <w:pPr>
              <w:pStyle w:val="Normal"/>
              <w:jc w:val="both"/>
              <w:rPr>
                <w:color w:val="000000"/>
                <w:sz w:val="16"/>
                <w:szCs w:val="16"/>
              </w:rPr>
            </w:pPr>
            <w:r>
              <w:rPr>
                <w:color w:val="000000"/>
                <w:sz w:val="16"/>
                <w:szCs w:val="16"/>
              </w:rPr>
              <w:t>- provocarea însămânţării naturale prin rărirea sau deschiderea arboretului acolo unde nu s-a declanşat încă instalarea regenerării naturale;</w:t>
            </w:r>
          </w:p>
          <w:p>
            <w:pPr>
              <w:pStyle w:val="Normal"/>
              <w:jc w:val="both"/>
              <w:rPr/>
            </w:pPr>
            <w:r>
              <w:rPr>
                <w:color w:val="000000"/>
                <w:sz w:val="16"/>
                <w:szCs w:val="16"/>
              </w:rPr>
              <w:t>Pentru realizarea acestor obiective se disting în cadrul tratamentului menţionat trei genuri de tăieri: tăieri de deschidere de ochiuri sau de însămânţare, tăieri de lărgire a ochiurilor sau de punere în lumină precum şi tăieri de racordare.</w:t>
            </w:r>
          </w:p>
        </w:tc>
        <w:tc>
          <w:tcPr>
            <w:tcW w:w="1667" w:type="dxa"/>
            <w:tcBorders>
              <w:top w:val="single" w:sz="4" w:space="0" w:color="000000"/>
              <w:left w:val="single" w:sz="4" w:space="0" w:color="000000"/>
              <w:bottom w:val="single" w:sz="4" w:space="0" w:color="000000"/>
            </w:tcBorders>
            <w:vAlign w:val="center"/>
          </w:tcPr>
          <w:p>
            <w:pPr>
              <w:pStyle w:val="Normal"/>
              <w:ind w:right="-108" w:hanging="112"/>
              <w:jc w:val="center"/>
              <w:rPr/>
            </w:pPr>
            <w:r>
              <w:rPr>
                <w:color w:val="000000"/>
                <w:sz w:val="16"/>
                <w:szCs w:val="16"/>
              </w:rPr>
              <w:t xml:space="preserve">UP IV </w:t>
            </w:r>
          </w:p>
          <w:p>
            <w:pPr>
              <w:pStyle w:val="Normal"/>
              <w:ind w:right="-108" w:hanging="112"/>
              <w:jc w:val="center"/>
              <w:rPr/>
            </w:pPr>
            <w:r>
              <w:rPr>
                <w:color w:val="000000"/>
                <w:sz w:val="16"/>
                <w:szCs w:val="16"/>
              </w:rPr>
              <w:t>TR 1</w:t>
            </w:r>
          </w:p>
          <w:p>
            <w:pPr>
              <w:pStyle w:val="Normal"/>
              <w:ind w:right="-108" w:hanging="112"/>
              <w:jc w:val="center"/>
              <w:rPr/>
            </w:pPr>
            <w:r>
              <w:rPr>
                <w:color w:val="000000"/>
                <w:sz w:val="16"/>
                <w:szCs w:val="16"/>
              </w:rPr>
              <w:t>58B, 59D</w:t>
            </w:r>
          </w:p>
          <w:p>
            <w:pPr>
              <w:pStyle w:val="Normal"/>
              <w:ind w:right="-108" w:hanging="112"/>
              <w:jc w:val="center"/>
              <w:rPr>
                <w:color w:val="000000"/>
                <w:sz w:val="16"/>
                <w:szCs w:val="16"/>
              </w:rPr>
            </w:pPr>
            <w:r>
              <w:rPr>
                <w:color w:val="000000"/>
                <w:sz w:val="16"/>
                <w:szCs w:val="16"/>
              </w:rPr>
            </w:r>
          </w:p>
          <w:p>
            <w:pPr>
              <w:pStyle w:val="Normal"/>
              <w:ind w:right="-108" w:hanging="112"/>
              <w:jc w:val="center"/>
              <w:rPr/>
            </w:pPr>
            <w:r>
              <w:rPr>
                <w:color w:val="000000"/>
                <w:sz w:val="16"/>
                <w:szCs w:val="16"/>
              </w:rPr>
              <w:t>UP V</w:t>
            </w:r>
          </w:p>
          <w:p>
            <w:pPr>
              <w:pStyle w:val="Normal"/>
              <w:ind w:right="-108" w:hanging="112"/>
              <w:jc w:val="center"/>
              <w:rPr/>
            </w:pPr>
            <w:r>
              <w:rPr>
                <w:color w:val="000000"/>
                <w:sz w:val="16"/>
                <w:szCs w:val="16"/>
              </w:rPr>
              <w:t>TR 2</w:t>
            </w:r>
          </w:p>
          <w:p>
            <w:pPr>
              <w:pStyle w:val="Normal"/>
              <w:ind w:right="-108" w:hanging="112"/>
              <w:jc w:val="center"/>
              <w:rPr/>
            </w:pPr>
            <w:r>
              <w:rPr>
                <w:color w:val="000000"/>
                <w:sz w:val="16"/>
                <w:szCs w:val="16"/>
              </w:rPr>
              <w:t>50B</w:t>
            </w:r>
          </w:p>
          <w:p>
            <w:pPr>
              <w:pStyle w:val="Normal"/>
              <w:ind w:right="-108" w:hanging="112"/>
              <w:jc w:val="center"/>
              <w:rPr>
                <w:color w:val="000000"/>
                <w:sz w:val="16"/>
                <w:szCs w:val="16"/>
              </w:rPr>
            </w:pPr>
            <w:r>
              <w:rPr>
                <w:color w:val="000000"/>
                <w:sz w:val="16"/>
                <w:szCs w:val="16"/>
              </w:rPr>
            </w:r>
          </w:p>
          <w:p>
            <w:pPr>
              <w:pStyle w:val="Normal"/>
              <w:ind w:right="-108" w:hanging="112"/>
              <w:jc w:val="center"/>
              <w:rPr/>
            </w:pPr>
            <w:r>
              <w:rPr>
                <w:color w:val="000000"/>
                <w:sz w:val="16"/>
                <w:szCs w:val="16"/>
              </w:rPr>
              <w:t>UP IV</w:t>
            </w:r>
          </w:p>
          <w:p>
            <w:pPr>
              <w:pStyle w:val="Normal"/>
              <w:ind w:right="-108" w:hanging="112"/>
              <w:jc w:val="center"/>
              <w:rPr/>
            </w:pPr>
            <w:r>
              <w:rPr>
                <w:color w:val="000000"/>
                <w:sz w:val="16"/>
                <w:szCs w:val="16"/>
              </w:rPr>
              <w:t>16C, 32B,</w:t>
            </w:r>
          </w:p>
          <w:p>
            <w:pPr>
              <w:pStyle w:val="Normal"/>
              <w:ind w:right="-108" w:hanging="112"/>
              <w:jc w:val="center"/>
              <w:rPr>
                <w:color w:val="000000"/>
              </w:rPr>
            </w:pPr>
            <w:r>
              <w:rPr>
                <w:color w:val="000000"/>
              </w:rPr>
            </w:r>
          </w:p>
          <w:p>
            <w:pPr>
              <w:pStyle w:val="Normal"/>
              <w:ind w:right="-108" w:hanging="112"/>
              <w:jc w:val="center"/>
              <w:rPr/>
            </w:pPr>
            <w:r>
              <w:rPr>
                <w:color w:val="000000"/>
                <w:sz w:val="16"/>
                <w:szCs w:val="16"/>
              </w:rPr>
              <w:t>UPV</w:t>
            </w:r>
          </w:p>
          <w:p>
            <w:pPr>
              <w:pStyle w:val="Normal"/>
              <w:ind w:right="-108" w:hanging="112"/>
              <w:jc w:val="center"/>
              <w:rPr/>
            </w:pPr>
            <w:r>
              <w:rPr>
                <w:color w:val="000000"/>
                <w:sz w:val="16"/>
                <w:szCs w:val="16"/>
              </w:rPr>
              <w:t>TR 1</w:t>
            </w:r>
          </w:p>
          <w:p>
            <w:pPr>
              <w:pStyle w:val="Normal"/>
              <w:ind w:right="-108" w:hanging="112"/>
              <w:jc w:val="center"/>
              <w:rPr/>
            </w:pPr>
            <w:r>
              <w:rPr>
                <w:color w:val="000000"/>
                <w:sz w:val="16"/>
                <w:szCs w:val="16"/>
              </w:rPr>
              <w:t>76C, 90C, 93B</w:t>
            </w:r>
          </w:p>
          <w:p>
            <w:pPr>
              <w:pStyle w:val="Normal"/>
              <w:ind w:right="-108" w:hanging="112"/>
              <w:jc w:val="center"/>
              <w:rPr>
                <w:color w:val="000000"/>
              </w:rPr>
            </w:pPr>
            <w:r>
              <w:rPr>
                <w:color w:val="000000"/>
              </w:rPr>
            </w:r>
          </w:p>
          <w:p>
            <w:pPr>
              <w:pStyle w:val="Normal"/>
              <w:ind w:right="-108" w:hanging="112"/>
              <w:jc w:val="center"/>
              <w:rPr/>
            </w:pPr>
            <w:r>
              <w:rPr>
                <w:color w:val="000000"/>
                <w:sz w:val="16"/>
                <w:szCs w:val="16"/>
              </w:rPr>
              <w:t>UP V</w:t>
            </w:r>
          </w:p>
          <w:p>
            <w:pPr>
              <w:pStyle w:val="Normal"/>
              <w:ind w:right="-108" w:hanging="112"/>
              <w:jc w:val="center"/>
              <w:rPr/>
            </w:pPr>
            <w:r>
              <w:rPr>
                <w:color w:val="000000"/>
                <w:sz w:val="16"/>
                <w:szCs w:val="16"/>
              </w:rPr>
              <w:t>TR 2</w:t>
            </w:r>
          </w:p>
          <w:p>
            <w:pPr>
              <w:pStyle w:val="Normal"/>
              <w:ind w:right="-108" w:hanging="112"/>
              <w:jc w:val="center"/>
              <w:rPr/>
            </w:pPr>
            <w:r>
              <w:rPr>
                <w:color w:val="000000"/>
                <w:sz w:val="16"/>
                <w:szCs w:val="16"/>
              </w:rPr>
              <w:t>102A, 109C, 109E, 111B, 111C, 113B.</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18.5</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7.26</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13.2</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t>22.7</w:t>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color w:val="000000"/>
                <w:sz w:val="16"/>
                <w:szCs w:val="16"/>
              </w:rPr>
            </w:pPr>
            <w:r>
              <w:rPr>
                <w:color w:val="000000"/>
                <w:sz w:val="16"/>
                <w:szCs w:val="16"/>
              </w:rPr>
            </w:r>
          </w:p>
          <w:p>
            <w:pPr>
              <w:pStyle w:val="Normal"/>
              <w:jc w:val="center"/>
              <w:rPr>
                <w:rFonts w:ascii="Times New Roman" w:hAnsi="Times New Roman" w:eastAsia="Times New Roman" w:cs="Times New Roman"/>
                <w:color w:val="000000"/>
                <w:kern w:val="0"/>
                <w:sz w:val="16"/>
                <w:szCs w:val="16"/>
                <w:lang w:val="en-US" w:eastAsia="zh-CN" w:bidi="ar-SA"/>
              </w:rPr>
            </w:pPr>
            <w:r>
              <w:rPr>
                <w:rFonts w:eastAsia="Times New Roman" w:cs="Times New Roman"/>
                <w:color w:val="000000"/>
                <w:kern w:val="0"/>
                <w:sz w:val="16"/>
                <w:szCs w:val="16"/>
                <w:lang w:val="en-US" w:eastAsia="zh-CN" w:bidi="ar-SA"/>
              </w:rPr>
              <w:t>23.38</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ind w:left="31" w:hanging="0"/>
              <w:jc w:val="center"/>
              <w:rPr/>
            </w:pPr>
            <w:r>
              <w:rPr>
                <w:kern w:val="2"/>
                <w:sz w:val="16"/>
                <w:szCs w:val="16"/>
              </w:rPr>
              <w:t xml:space="preserve">In aceste unitati amenajistice care se suprapun partial cu Situl natura 2000 ROSCI 0042 – Codru Moma, se vor efectua lucrarile de tipul de interventie mentionat la coloana nr. 2 </w:t>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pPr>
            <w:r>
              <w:rPr>
                <w:sz w:val="16"/>
                <w:szCs w:val="16"/>
              </w:rPr>
              <w:t>Aceste unități amenajistice nu se suprapun cu Situl Natura 2000 ROSCI0042 – Codru Moma iar lucrările se vor desfășura în afara ANPIC la distanța medie de 4,8 km față de ROSCI0042.</w:t>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p>
            <w:pPr>
              <w:pStyle w:val="TableParagraph"/>
              <w:ind w:left="31" w:hanging="0"/>
              <w:jc w:val="center"/>
              <w:rPr>
                <w:sz w:val="16"/>
                <w:szCs w:val="16"/>
              </w:rPr>
            </w:pPr>
            <w:r>
              <w:rPr>
                <w:sz w:val="16"/>
                <w:szCs w:val="16"/>
              </w:rPr>
            </w:r>
          </w:p>
        </w:tc>
      </w:tr>
      <w:tr>
        <w:trPr>
          <w:trHeight w:val="988"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6</w:t>
            </w:r>
          </w:p>
        </w:tc>
        <w:tc>
          <w:tcPr>
            <w:tcW w:w="97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Tăieri rase</w:t>
            </w:r>
          </w:p>
        </w:tc>
        <w:tc>
          <w:tcPr>
            <w:tcW w:w="3466" w:type="dxa"/>
            <w:tcBorders>
              <w:top w:val="single" w:sz="4" w:space="0" w:color="000000"/>
              <w:left w:val="single" w:sz="4" w:space="0" w:color="000000"/>
              <w:bottom w:val="single" w:sz="4" w:space="0" w:color="000000"/>
            </w:tcBorders>
            <w:vAlign w:val="center"/>
          </w:tcPr>
          <w:p>
            <w:pPr>
              <w:pStyle w:val="Normal"/>
              <w:jc w:val="both"/>
              <w:rPr/>
            </w:pPr>
            <w:r>
              <w:rPr>
                <w:color w:val="000000"/>
                <w:sz w:val="16"/>
                <w:szCs w:val="16"/>
              </w:rPr>
              <w:t>Se vor aplica în arboretele care necesită substituire (arborete total derivate) cu carpen. Pe suprafeţele mai mari de 3,0 ha, alăturarea parchetelor se va face la intervale de 2-3 ani, după ce arboretele nou create vor avea închisă starea de masiv.</w:t>
            </w:r>
          </w:p>
        </w:tc>
        <w:tc>
          <w:tcPr>
            <w:tcW w:w="1667" w:type="dxa"/>
            <w:tcBorders>
              <w:top w:val="single" w:sz="4" w:space="0" w:color="000000"/>
              <w:left w:val="single" w:sz="4" w:space="0" w:color="000000"/>
              <w:bottom w:val="single" w:sz="4" w:space="0" w:color="000000"/>
            </w:tcBorders>
            <w:vAlign w:val="center"/>
          </w:tcPr>
          <w:p>
            <w:pPr>
              <w:pStyle w:val="Normal"/>
              <w:ind w:right="-108" w:hanging="112"/>
              <w:jc w:val="center"/>
              <w:rPr>
                <w:color w:val="000000"/>
                <w:sz w:val="16"/>
                <w:szCs w:val="16"/>
              </w:rPr>
            </w:pPr>
            <w:r>
              <w:rPr>
                <w:color w:val="000000"/>
                <w:sz w:val="16"/>
                <w:szCs w:val="16"/>
              </w:rPr>
              <w:t>UP IV</w:t>
            </w:r>
          </w:p>
          <w:p>
            <w:pPr>
              <w:pStyle w:val="Normal"/>
              <w:ind w:right="-108" w:hanging="112"/>
              <w:jc w:val="center"/>
              <w:rPr>
                <w:color w:val="000000"/>
                <w:sz w:val="16"/>
                <w:szCs w:val="16"/>
              </w:rPr>
            </w:pPr>
            <w:r>
              <w:rPr>
                <w:color w:val="000000"/>
                <w:sz w:val="16"/>
                <w:szCs w:val="16"/>
              </w:rPr>
              <w:t xml:space="preserve">27H, 59A, 59C, </w:t>
            </w:r>
          </w:p>
          <w:p>
            <w:pPr>
              <w:pStyle w:val="Normal"/>
              <w:ind w:right="-108" w:hanging="112"/>
              <w:jc w:val="center"/>
              <w:rPr>
                <w:color w:val="000000"/>
                <w:sz w:val="16"/>
                <w:szCs w:val="16"/>
              </w:rPr>
            </w:pPr>
            <w:r>
              <w:rPr>
                <w:color w:val="000000"/>
                <w:sz w:val="16"/>
                <w:szCs w:val="16"/>
              </w:rPr>
              <w:t xml:space="preserve">UP V </w:t>
            </w:r>
          </w:p>
          <w:p>
            <w:pPr>
              <w:pStyle w:val="Normal"/>
              <w:ind w:right="-108" w:hanging="112"/>
              <w:jc w:val="center"/>
              <w:rPr>
                <w:color w:val="000000"/>
                <w:sz w:val="16"/>
                <w:szCs w:val="16"/>
              </w:rPr>
            </w:pPr>
            <w:r>
              <w:rPr>
                <w:color w:val="000000"/>
                <w:sz w:val="16"/>
                <w:szCs w:val="16"/>
              </w:rPr>
              <w:t>TR 2</w:t>
            </w:r>
          </w:p>
          <w:p>
            <w:pPr>
              <w:pStyle w:val="Normal"/>
              <w:ind w:right="-108" w:hanging="112"/>
              <w:jc w:val="center"/>
              <w:rPr>
                <w:color w:val="000000"/>
                <w:sz w:val="16"/>
                <w:szCs w:val="16"/>
              </w:rPr>
            </w:pPr>
            <w:r>
              <w:rPr>
                <w:color w:val="000000"/>
                <w:sz w:val="16"/>
                <w:szCs w:val="16"/>
              </w:rPr>
              <w:t>87B.</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18,74</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TableParagraph"/>
              <w:ind w:left="31" w:hanging="0"/>
              <w:jc w:val="center"/>
              <w:rPr/>
            </w:pPr>
            <w:r>
              <w:rPr>
                <w:sz w:val="16"/>
                <w:szCs w:val="16"/>
              </w:rPr>
              <w:t xml:space="preserve">Unitățile amenajistice nu se suprapun cu </w:t>
            </w:r>
            <w:r>
              <w:rPr>
                <w:rFonts w:eastAsia="Times New Roman" w:cs="Times New Roman"/>
                <w:color w:val="auto"/>
                <w:kern w:val="0"/>
                <w:sz w:val="16"/>
                <w:szCs w:val="16"/>
                <w:lang w:val="ro-RO" w:eastAsia="zh-CN" w:bidi="ar-SA"/>
              </w:rPr>
              <w:t>situl</w:t>
            </w:r>
            <w:r>
              <w:rPr>
                <w:sz w:val="16"/>
                <w:szCs w:val="16"/>
              </w:rPr>
              <w:t xml:space="preserve"> Natura 2000 ROSCI0042 – Codru Moma iar lucrările se vor desfășura în afara ANPIC la distanța medie de 3,9 km față de </w:t>
            </w:r>
            <w:r>
              <w:rPr>
                <w:rFonts w:eastAsia="Times New Roman" w:cs="Times New Roman"/>
                <w:color w:val="auto"/>
                <w:kern w:val="0"/>
                <w:sz w:val="16"/>
                <w:szCs w:val="16"/>
                <w:lang w:val="ro-RO" w:eastAsia="zh-CN" w:bidi="ar-SA"/>
              </w:rPr>
              <w:t>sit.</w:t>
            </w:r>
          </w:p>
        </w:tc>
      </w:tr>
      <w:tr>
        <w:trPr>
          <w:trHeight w:val="3429"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7</w:t>
            </w:r>
          </w:p>
        </w:tc>
        <w:tc>
          <w:tcPr>
            <w:tcW w:w="974" w:type="dxa"/>
            <w:tcBorders>
              <w:top w:val="single" w:sz="4" w:space="0" w:color="000000"/>
              <w:left w:val="single" w:sz="4" w:space="0" w:color="000000"/>
              <w:bottom w:val="single" w:sz="4" w:space="0" w:color="000000"/>
            </w:tcBorders>
            <w:vAlign w:val="center"/>
          </w:tcPr>
          <w:p>
            <w:pPr>
              <w:pStyle w:val="Normal"/>
              <w:ind w:left="-108" w:right="-109" w:hanging="0"/>
              <w:jc w:val="center"/>
              <w:rPr>
                <w:color w:val="000000"/>
                <w:sz w:val="16"/>
                <w:szCs w:val="16"/>
              </w:rPr>
            </w:pPr>
            <w:r>
              <w:rPr>
                <w:color w:val="000000"/>
                <w:sz w:val="16"/>
                <w:szCs w:val="16"/>
              </w:rPr>
              <w:t xml:space="preserve">Lucrări de conservare </w:t>
            </w:r>
          </w:p>
        </w:tc>
        <w:tc>
          <w:tcPr>
            <w:tcW w:w="3466" w:type="dxa"/>
            <w:tcBorders>
              <w:top w:val="single" w:sz="4" w:space="0" w:color="000000"/>
              <w:left w:val="single" w:sz="4" w:space="0" w:color="000000"/>
              <w:bottom w:val="single" w:sz="4" w:space="0" w:color="000000"/>
            </w:tcBorders>
            <w:vAlign w:val="center"/>
          </w:tcPr>
          <w:p>
            <w:pPr>
              <w:pStyle w:val="Normal"/>
              <w:jc w:val="both"/>
              <w:rPr>
                <w:color w:val="000000"/>
                <w:sz w:val="16"/>
                <w:szCs w:val="16"/>
              </w:rPr>
            </w:pPr>
            <w:r>
              <w:rPr>
                <w:color w:val="000000"/>
                <w:sz w:val="16"/>
                <w:szCs w:val="16"/>
              </w:rPr>
              <w:t>Lucrările speciale de conservare reprezintă un ansamblu de lucrări prin care se urmăreşte menţinerea şi îmbunătăţirea stării fitosanitare a arboretelor, asigurarea permanenţei pădurii şi îmbunătăţirea continuă a exercitării de către acestea a  funcţiilor de protecţie ce le-au fost atribuite, prin:</w:t>
            </w:r>
          </w:p>
          <w:p>
            <w:pPr>
              <w:pStyle w:val="Normal"/>
              <w:jc w:val="both"/>
              <w:rPr>
                <w:color w:val="000000"/>
                <w:sz w:val="16"/>
                <w:szCs w:val="16"/>
              </w:rPr>
            </w:pPr>
            <w:r>
              <w:rPr>
                <w:color w:val="000000"/>
                <w:sz w:val="16"/>
                <w:szCs w:val="16"/>
              </w:rPr>
              <w:t>- efectuarea lucrărilor de igienizare;</w:t>
            </w:r>
          </w:p>
          <w:p>
            <w:pPr>
              <w:pStyle w:val="Normal"/>
              <w:jc w:val="both"/>
              <w:rPr>
                <w:color w:val="000000"/>
                <w:sz w:val="16"/>
                <w:szCs w:val="16"/>
              </w:rPr>
            </w:pPr>
            <w:r>
              <w:rPr>
                <w:color w:val="000000"/>
                <w:sz w:val="16"/>
                <w:szCs w:val="16"/>
              </w:rPr>
              <w:t>- extragerea arborilor de calitate scăzută;</w:t>
            </w:r>
          </w:p>
          <w:p>
            <w:pPr>
              <w:pStyle w:val="Normal"/>
              <w:jc w:val="both"/>
              <w:rPr/>
            </w:pPr>
            <w:r>
              <w:rPr>
                <w:color w:val="000000"/>
                <w:sz w:val="16"/>
                <w:szCs w:val="16"/>
              </w:rPr>
              <w:t>- promovarea nucleelor de regenerare naturală din speciile valoroase existente, prin efectuarea de extracţii de intensitate redusă, strict necesare menţinerii şi dezvoltării seminţişurilor respective;</w:t>
            </w:r>
          </w:p>
          <w:p>
            <w:pPr>
              <w:pStyle w:val="Normal"/>
              <w:jc w:val="both"/>
              <w:rPr>
                <w:color w:val="000000"/>
                <w:sz w:val="16"/>
                <w:szCs w:val="16"/>
              </w:rPr>
            </w:pPr>
            <w:r>
              <w:rPr>
                <w:color w:val="000000"/>
                <w:sz w:val="16"/>
                <w:szCs w:val="16"/>
              </w:rPr>
              <w:t>- provocarea drajonării în arboretele de salcâm prin tăierea rădăcinilor în jurul cioatelor;</w:t>
            </w:r>
          </w:p>
          <w:p>
            <w:pPr>
              <w:pStyle w:val="Normal"/>
              <w:jc w:val="both"/>
              <w:rPr>
                <w:color w:val="000000"/>
                <w:sz w:val="16"/>
                <w:szCs w:val="16"/>
              </w:rPr>
            </w:pPr>
            <w:r>
              <w:rPr>
                <w:color w:val="000000"/>
                <w:sz w:val="16"/>
                <w:szCs w:val="16"/>
              </w:rPr>
              <w:t>- înlăturarea lăstarilor ce copleşesc drajonii în arboretele de salcâm;</w:t>
            </w:r>
          </w:p>
          <w:p>
            <w:pPr>
              <w:pStyle w:val="Normal"/>
              <w:jc w:val="both"/>
              <w:rPr>
                <w:color w:val="000000"/>
                <w:sz w:val="16"/>
                <w:szCs w:val="16"/>
              </w:rPr>
            </w:pPr>
            <w:r>
              <w:rPr>
                <w:color w:val="000000"/>
                <w:sz w:val="16"/>
                <w:szCs w:val="16"/>
              </w:rPr>
              <w:t>- împădurirea golurilor existente, folosind specii şi tehnologii corespunzătoare staţiunii şi ţelurilor de gospodărire urmărite;</w:t>
            </w:r>
          </w:p>
          <w:p>
            <w:pPr>
              <w:pStyle w:val="Normal"/>
              <w:jc w:val="both"/>
              <w:rPr>
                <w:color w:val="000000"/>
                <w:sz w:val="16"/>
                <w:szCs w:val="16"/>
              </w:rPr>
            </w:pPr>
            <w:r>
              <w:rPr>
                <w:color w:val="000000"/>
                <w:sz w:val="16"/>
                <w:szCs w:val="16"/>
              </w:rPr>
              <w:t>- introducerea speciilor de ajutor şi amestec corespunzătoare tipului natural fundamental.</w:t>
            </w:r>
          </w:p>
        </w:tc>
        <w:tc>
          <w:tcPr>
            <w:tcW w:w="1667" w:type="dxa"/>
            <w:tcBorders>
              <w:top w:val="single" w:sz="4" w:space="0" w:color="000000"/>
              <w:left w:val="single" w:sz="4" w:space="0" w:color="000000"/>
              <w:bottom w:val="single" w:sz="4" w:space="0" w:color="000000"/>
            </w:tcBorders>
            <w:vAlign w:val="center"/>
          </w:tcPr>
          <w:p>
            <w:pPr>
              <w:pStyle w:val="Normal"/>
              <w:ind w:left="-60" w:right="-31" w:hanging="0"/>
              <w:jc w:val="center"/>
              <w:rPr/>
            </w:pPr>
            <w:r>
              <w:rPr>
                <w:color w:val="000000"/>
                <w:sz w:val="16"/>
                <w:szCs w:val="16"/>
              </w:rPr>
              <w:t>UP IV</w:t>
            </w:r>
          </w:p>
          <w:p>
            <w:pPr>
              <w:pStyle w:val="Normal"/>
              <w:ind w:left="-60" w:right="-31" w:hanging="0"/>
              <w:jc w:val="center"/>
              <w:rPr/>
            </w:pPr>
            <w:r>
              <w:rPr>
                <w:color w:val="000000"/>
                <w:sz w:val="16"/>
                <w:szCs w:val="16"/>
              </w:rPr>
              <w:t>TR 1</w:t>
            </w:r>
          </w:p>
          <w:p>
            <w:pPr>
              <w:pStyle w:val="Normal"/>
              <w:ind w:left="-60" w:right="-31" w:hanging="0"/>
              <w:jc w:val="center"/>
              <w:rPr/>
            </w:pPr>
            <w:r>
              <w:rPr>
                <w:color w:val="000000"/>
                <w:sz w:val="16"/>
                <w:szCs w:val="16"/>
              </w:rPr>
              <w:t>93D</w:t>
            </w:r>
          </w:p>
          <w:p>
            <w:pPr>
              <w:pStyle w:val="Normal"/>
              <w:ind w:left="-60" w:right="-31" w:hanging="0"/>
              <w:jc w:val="center"/>
              <w:rPr>
                <w:color w:val="000000"/>
                <w:sz w:val="16"/>
                <w:szCs w:val="16"/>
              </w:rPr>
            </w:pPr>
            <w:r>
              <w:rPr>
                <w:color w:val="000000"/>
                <w:sz w:val="16"/>
                <w:szCs w:val="16"/>
              </w:rPr>
            </w:r>
          </w:p>
          <w:p>
            <w:pPr>
              <w:pStyle w:val="Normal"/>
              <w:ind w:left="-60" w:right="-31" w:hanging="0"/>
              <w:jc w:val="center"/>
              <w:rPr/>
            </w:pPr>
            <w:r>
              <w:rPr>
                <w:color w:val="000000"/>
                <w:sz w:val="16"/>
                <w:szCs w:val="16"/>
              </w:rPr>
              <w:t xml:space="preserve">UP V </w:t>
            </w:r>
          </w:p>
          <w:p>
            <w:pPr>
              <w:pStyle w:val="Normal"/>
              <w:ind w:left="-60" w:right="-31" w:hanging="0"/>
              <w:jc w:val="center"/>
              <w:rPr/>
            </w:pPr>
            <w:r>
              <w:rPr>
                <w:color w:val="000000"/>
                <w:sz w:val="16"/>
                <w:szCs w:val="16"/>
              </w:rPr>
              <w:t>TR1</w:t>
            </w:r>
          </w:p>
          <w:p>
            <w:pPr>
              <w:pStyle w:val="Normal"/>
              <w:ind w:left="-60" w:right="-31" w:hanging="0"/>
              <w:jc w:val="center"/>
              <w:rPr/>
            </w:pPr>
            <w:r>
              <w:rPr>
                <w:color w:val="000000"/>
                <w:sz w:val="16"/>
                <w:szCs w:val="16"/>
              </w:rPr>
              <w:t>76B, 92B, 95D</w:t>
            </w:r>
          </w:p>
          <w:p>
            <w:pPr>
              <w:pStyle w:val="Normal"/>
              <w:ind w:left="-60" w:right="-31" w:hanging="0"/>
              <w:jc w:val="center"/>
              <w:rPr>
                <w:color w:val="000000"/>
                <w:sz w:val="16"/>
                <w:szCs w:val="16"/>
              </w:rPr>
            </w:pPr>
            <w:r>
              <w:rPr>
                <w:color w:val="000000"/>
                <w:sz w:val="16"/>
                <w:szCs w:val="16"/>
              </w:rPr>
            </w:r>
          </w:p>
          <w:p>
            <w:pPr>
              <w:pStyle w:val="Normal"/>
              <w:ind w:left="-60" w:right="-31" w:hanging="0"/>
              <w:jc w:val="center"/>
              <w:rPr/>
            </w:pPr>
            <w:r>
              <w:rPr>
                <w:color w:val="000000"/>
                <w:sz w:val="16"/>
                <w:szCs w:val="16"/>
              </w:rPr>
              <w:t>UP V</w:t>
            </w:r>
          </w:p>
          <w:p>
            <w:pPr>
              <w:pStyle w:val="Normal"/>
              <w:ind w:left="-60" w:right="-31" w:hanging="0"/>
              <w:jc w:val="center"/>
              <w:rPr/>
            </w:pPr>
            <w:r>
              <w:rPr>
                <w:color w:val="000000"/>
                <w:sz w:val="16"/>
                <w:szCs w:val="16"/>
              </w:rPr>
              <w:t>TR 2</w:t>
            </w:r>
          </w:p>
          <w:p>
            <w:pPr>
              <w:pStyle w:val="Normal"/>
              <w:ind w:left="-60" w:right="-31" w:hanging="0"/>
              <w:jc w:val="center"/>
              <w:rPr/>
            </w:pPr>
            <w:r>
              <w:rPr>
                <w:color w:val="000000"/>
                <w:sz w:val="16"/>
                <w:szCs w:val="16"/>
              </w:rPr>
              <w:t xml:space="preserve"> </w:t>
            </w:r>
            <w:r>
              <w:rPr>
                <w:color w:val="000000"/>
                <w:sz w:val="16"/>
                <w:szCs w:val="16"/>
              </w:rPr>
              <w:t>113C, 113E</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35,35</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Normal"/>
              <w:ind w:left="31" w:hanging="0"/>
              <w:jc w:val="center"/>
              <w:rPr/>
            </w:pPr>
            <w:r>
              <w:rPr>
                <w:kern w:val="2"/>
                <w:sz w:val="16"/>
                <w:szCs w:val="16"/>
              </w:rPr>
              <w:t xml:space="preserve">In aceste unitati amenajistice care se suprapun partial cu Situl natura 2000 ROSCI 0042 – Codru Moma, se vor efectua lucrarile de tipul de interventie mentionat la coloana nr. 2 </w:t>
            </w:r>
          </w:p>
          <w:p>
            <w:pPr>
              <w:pStyle w:val="TableParagraph"/>
              <w:ind w:left="31" w:hanging="0"/>
              <w:jc w:val="center"/>
              <w:rPr/>
            </w:pPr>
            <w:r>
              <w:rPr>
                <w:sz w:val="16"/>
                <w:szCs w:val="16"/>
              </w:rPr>
              <w:t>Alte lucrări de acest tip de interventie se vor desfășura în unități amenajistice care nu se suprapun pe situl Natura 2000 ROSCI0042 Codru Moma și sunt la o distanța medie de 5,3 km față de limita sitului ROSCI0042</w:t>
            </w:r>
          </w:p>
        </w:tc>
      </w:tr>
      <w:tr>
        <w:trPr>
          <w:trHeight w:val="3429" w:hRule="atLeast"/>
        </w:trPr>
        <w:tc>
          <w:tcPr>
            <w:tcW w:w="514"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8</w:t>
            </w:r>
          </w:p>
        </w:tc>
        <w:tc>
          <w:tcPr>
            <w:tcW w:w="974" w:type="dxa"/>
            <w:tcBorders>
              <w:top w:val="single" w:sz="4" w:space="0" w:color="000000"/>
              <w:left w:val="single" w:sz="4" w:space="0" w:color="000000"/>
              <w:bottom w:val="single" w:sz="4" w:space="0" w:color="000000"/>
            </w:tcBorders>
            <w:vAlign w:val="center"/>
          </w:tcPr>
          <w:p>
            <w:pPr>
              <w:pStyle w:val="Normal"/>
              <w:ind w:left="-108" w:right="-109" w:hanging="0"/>
              <w:jc w:val="center"/>
              <w:rPr>
                <w:color w:val="000000"/>
                <w:sz w:val="16"/>
                <w:szCs w:val="16"/>
              </w:rPr>
            </w:pPr>
            <w:r>
              <w:rPr>
                <w:color w:val="000000"/>
                <w:sz w:val="16"/>
                <w:szCs w:val="16"/>
              </w:rPr>
              <w:t>Împăduriri</w:t>
            </w:r>
          </w:p>
        </w:tc>
        <w:tc>
          <w:tcPr>
            <w:tcW w:w="3466" w:type="dxa"/>
            <w:tcBorders>
              <w:top w:val="single" w:sz="4" w:space="0" w:color="000000"/>
              <w:left w:val="single" w:sz="4" w:space="0" w:color="000000"/>
              <w:bottom w:val="single" w:sz="4" w:space="0" w:color="000000"/>
            </w:tcBorders>
            <w:vAlign w:val="center"/>
          </w:tcPr>
          <w:p>
            <w:pPr>
              <w:pStyle w:val="Normal"/>
              <w:jc w:val="both"/>
              <w:rPr>
                <w:color w:val="000000"/>
                <w:sz w:val="16"/>
                <w:szCs w:val="16"/>
              </w:rPr>
            </w:pPr>
            <w:r>
              <w:rPr>
                <w:color w:val="000000"/>
                <w:sz w:val="16"/>
                <w:szCs w:val="16"/>
              </w:rPr>
              <w:t>Regenerarea arboretelor, ca proces de asigurare a continuităţii arboretelor, a perenităţii pădurilor, se poate realiza prin două metode: regenerarea naturală şi regenerarea artificială.</w:t>
            </w:r>
          </w:p>
          <w:p>
            <w:pPr>
              <w:pStyle w:val="Normal"/>
              <w:jc w:val="both"/>
              <w:rPr/>
            </w:pPr>
            <w:r>
              <w:rPr>
                <w:color w:val="000000"/>
                <w:sz w:val="16"/>
                <w:szCs w:val="16"/>
              </w:rPr>
              <w:t>Regenerarea naturală asigură constituirea unor arborete foarte valoroase, cu o productivitate ridicată şi un înalt grad de stabilitate, ce îşi exercită cu maximă eficienţă funcţiile atribuite. În baza acestei concepţii, principiile de gospodărire raţională a pădurilor recomandă, în mod justificat, aplicarea tăierilor bazate pe regenerarea naturală în toate cazurile în care acest lucru este posibil.</w:t>
            </w:r>
          </w:p>
          <w:p>
            <w:pPr>
              <w:pStyle w:val="Normal"/>
              <w:jc w:val="both"/>
              <w:rPr/>
            </w:pPr>
            <w:r>
              <w:rPr>
                <w:color w:val="000000"/>
                <w:sz w:val="16"/>
                <w:szCs w:val="16"/>
              </w:rPr>
              <w:t>În vederea creşterii productivităţii arboretelor se acţionează pe foarte multe căi. Una din primele astfel de modalităţi priveşte principiul potrivit căruia un arboret, prin asortimentul de specii, trebuie să valorifice complet potenţialul productiv al staţiunii. În baza acestui fapt, o mare importanţă se acordă regenerărilor artificiale ce vizează arboretele de plopi euramericani, pe cele degradate, brăcuite, care nu corespund din punctul de vedere al cantităţii şi calităţii producţiei lor.</w:t>
            </w:r>
          </w:p>
        </w:tc>
        <w:tc>
          <w:tcPr>
            <w:tcW w:w="1667" w:type="dxa"/>
            <w:tcBorders>
              <w:top w:val="single" w:sz="4" w:space="0" w:color="000000"/>
              <w:left w:val="single" w:sz="4" w:space="0" w:color="000000"/>
              <w:bottom w:val="single" w:sz="4" w:space="0" w:color="000000"/>
            </w:tcBorders>
            <w:vAlign w:val="center"/>
          </w:tcPr>
          <w:p>
            <w:pPr>
              <w:pStyle w:val="Normal"/>
              <w:ind w:left="-60" w:right="-31" w:hanging="0"/>
              <w:jc w:val="center"/>
              <w:rPr>
                <w:color w:val="000000"/>
                <w:sz w:val="16"/>
                <w:szCs w:val="16"/>
              </w:rPr>
            </w:pPr>
            <w:r>
              <w:rPr>
                <w:color w:val="000000"/>
                <w:sz w:val="16"/>
                <w:szCs w:val="16"/>
              </w:rPr>
              <w:t>UP IV</w:t>
            </w:r>
          </w:p>
          <w:p>
            <w:pPr>
              <w:pStyle w:val="Normal"/>
              <w:ind w:left="-60" w:right="-31" w:hanging="0"/>
              <w:jc w:val="center"/>
              <w:rPr>
                <w:color w:val="000000"/>
                <w:sz w:val="16"/>
                <w:szCs w:val="16"/>
              </w:rPr>
            </w:pPr>
            <w:r>
              <w:rPr>
                <w:color w:val="000000"/>
                <w:sz w:val="16"/>
                <w:szCs w:val="16"/>
              </w:rPr>
              <w:t>TR1</w:t>
            </w:r>
          </w:p>
          <w:p>
            <w:pPr>
              <w:pStyle w:val="Normal"/>
              <w:ind w:left="-60" w:right="-31" w:hanging="0"/>
              <w:jc w:val="center"/>
              <w:rPr>
                <w:color w:val="000000"/>
                <w:sz w:val="16"/>
                <w:szCs w:val="16"/>
              </w:rPr>
            </w:pPr>
            <w:r>
              <w:rPr>
                <w:color w:val="000000"/>
                <w:sz w:val="16"/>
                <w:szCs w:val="16"/>
              </w:rPr>
              <w:t xml:space="preserve">16C, </w:t>
            </w:r>
          </w:p>
          <w:p>
            <w:pPr>
              <w:pStyle w:val="Normal"/>
              <w:ind w:left="-60" w:right="-31" w:hanging="0"/>
              <w:jc w:val="center"/>
              <w:rPr>
                <w:color w:val="000000"/>
                <w:sz w:val="16"/>
                <w:szCs w:val="16"/>
              </w:rPr>
            </w:pPr>
            <w:r>
              <w:rPr>
                <w:color w:val="000000"/>
                <w:sz w:val="16"/>
                <w:szCs w:val="16"/>
              </w:rPr>
            </w:r>
          </w:p>
          <w:p>
            <w:pPr>
              <w:pStyle w:val="Normal"/>
              <w:ind w:left="-60" w:right="-31" w:hanging="0"/>
              <w:jc w:val="center"/>
              <w:rPr>
                <w:color w:val="000000"/>
                <w:sz w:val="16"/>
                <w:szCs w:val="16"/>
              </w:rPr>
            </w:pPr>
            <w:r>
              <w:rPr>
                <w:color w:val="000000"/>
                <w:sz w:val="16"/>
                <w:szCs w:val="16"/>
              </w:rPr>
              <w:t>UP V</w:t>
            </w:r>
          </w:p>
          <w:p>
            <w:pPr>
              <w:pStyle w:val="Normal"/>
              <w:ind w:left="-60" w:right="-31" w:hanging="0"/>
              <w:jc w:val="center"/>
              <w:rPr>
                <w:color w:val="000000"/>
                <w:sz w:val="16"/>
                <w:szCs w:val="16"/>
              </w:rPr>
            </w:pPr>
            <w:r>
              <w:rPr>
                <w:color w:val="000000"/>
                <w:sz w:val="16"/>
                <w:szCs w:val="16"/>
              </w:rPr>
              <w:t>TR 1</w:t>
            </w:r>
          </w:p>
          <w:p>
            <w:pPr>
              <w:pStyle w:val="Normal"/>
              <w:ind w:left="-60" w:right="-31" w:hanging="0"/>
              <w:jc w:val="center"/>
              <w:rPr>
                <w:color w:val="000000"/>
                <w:sz w:val="16"/>
                <w:szCs w:val="16"/>
              </w:rPr>
            </w:pPr>
            <w:r>
              <w:rPr>
                <w:color w:val="000000"/>
                <w:sz w:val="16"/>
                <w:szCs w:val="16"/>
              </w:rPr>
              <w:t xml:space="preserve">27H, 32B, 59A, 59C, 59D, </w:t>
            </w:r>
          </w:p>
          <w:p>
            <w:pPr>
              <w:pStyle w:val="Normal"/>
              <w:ind w:left="-60" w:right="-31" w:hanging="0"/>
              <w:jc w:val="center"/>
              <w:rPr>
                <w:color w:val="000000"/>
                <w:sz w:val="16"/>
                <w:szCs w:val="16"/>
              </w:rPr>
            </w:pPr>
            <w:r>
              <w:rPr>
                <w:color w:val="000000"/>
                <w:sz w:val="16"/>
                <w:szCs w:val="16"/>
              </w:rPr>
            </w:r>
          </w:p>
          <w:p>
            <w:pPr>
              <w:pStyle w:val="Normal"/>
              <w:ind w:left="-60" w:right="-31" w:hanging="0"/>
              <w:jc w:val="center"/>
              <w:rPr>
                <w:color w:val="000000"/>
                <w:sz w:val="16"/>
                <w:szCs w:val="16"/>
              </w:rPr>
            </w:pPr>
            <w:r>
              <w:rPr>
                <w:color w:val="000000"/>
                <w:sz w:val="16"/>
                <w:szCs w:val="16"/>
              </w:rPr>
              <w:t>UP V</w:t>
            </w:r>
          </w:p>
          <w:p>
            <w:pPr>
              <w:pStyle w:val="Normal"/>
              <w:ind w:left="-60" w:right="-31" w:hanging="0"/>
              <w:jc w:val="center"/>
              <w:rPr>
                <w:color w:val="000000"/>
                <w:sz w:val="16"/>
                <w:szCs w:val="16"/>
              </w:rPr>
            </w:pPr>
            <w:r>
              <w:rPr>
                <w:color w:val="000000"/>
                <w:sz w:val="16"/>
                <w:szCs w:val="16"/>
              </w:rPr>
              <w:t>TR 2</w:t>
            </w:r>
          </w:p>
          <w:p>
            <w:pPr>
              <w:pStyle w:val="Normal"/>
              <w:ind w:left="-60" w:right="-31" w:hanging="0"/>
              <w:jc w:val="center"/>
              <w:rPr>
                <w:color w:val="000000"/>
                <w:sz w:val="16"/>
                <w:szCs w:val="16"/>
              </w:rPr>
            </w:pPr>
            <w:r>
              <w:rPr>
                <w:color w:val="000000"/>
                <w:sz w:val="16"/>
                <w:szCs w:val="16"/>
              </w:rPr>
              <w:t xml:space="preserve">76C, 87B, 99K, 100F, 102A, 109C, 113B, </w:t>
            </w:r>
          </w:p>
        </w:tc>
        <w:tc>
          <w:tcPr>
            <w:tcW w:w="835" w:type="dxa"/>
            <w:tcBorders>
              <w:top w:val="single" w:sz="4" w:space="0" w:color="000000"/>
              <w:left w:val="single" w:sz="4" w:space="0" w:color="000000"/>
              <w:bottom w:val="single" w:sz="4" w:space="0" w:color="000000"/>
            </w:tcBorders>
            <w:vAlign w:val="center"/>
          </w:tcPr>
          <w:p>
            <w:pPr>
              <w:pStyle w:val="Normal"/>
              <w:jc w:val="center"/>
              <w:rPr>
                <w:color w:val="000000"/>
                <w:sz w:val="16"/>
                <w:szCs w:val="16"/>
              </w:rPr>
            </w:pPr>
            <w:r>
              <w:rPr>
                <w:color w:val="000000"/>
                <w:sz w:val="16"/>
                <w:szCs w:val="16"/>
              </w:rPr>
              <w:t>37,82</w:t>
            </w:r>
          </w:p>
        </w:tc>
        <w:tc>
          <w:tcPr>
            <w:tcW w:w="2187" w:type="dxa"/>
            <w:tcBorders>
              <w:top w:val="single" w:sz="4" w:space="0" w:color="000000"/>
              <w:left w:val="single" w:sz="4" w:space="0" w:color="000000"/>
              <w:bottom w:val="single" w:sz="4" w:space="0" w:color="000000"/>
              <w:right w:val="single" w:sz="4" w:space="0" w:color="000000"/>
            </w:tcBorders>
            <w:vAlign w:val="center"/>
          </w:tcPr>
          <w:p>
            <w:pPr>
              <w:pStyle w:val="TableParagraph"/>
              <w:ind w:left="31" w:hanging="0"/>
              <w:jc w:val="center"/>
              <w:rPr/>
            </w:pPr>
            <w:r>
              <w:rPr>
                <w:sz w:val="16"/>
                <w:szCs w:val="16"/>
              </w:rPr>
              <w:t xml:space="preserve">Unitățile amenajistice în se fac lucrări de impaduriri nu se suprapun cu Situl Natura 2000 ROSCI0042 – Codru Moma, aceste lucrările se vor desfășura în afara </w:t>
            </w:r>
            <w:r>
              <w:rPr>
                <w:rFonts w:eastAsia="Times New Roman" w:cs="Times New Roman"/>
                <w:color w:val="auto"/>
                <w:kern w:val="0"/>
                <w:sz w:val="16"/>
                <w:szCs w:val="16"/>
                <w:lang w:val="ro-RO" w:eastAsia="zh-CN" w:bidi="ar-SA"/>
              </w:rPr>
              <w:t>sitului</w:t>
            </w:r>
            <w:r>
              <w:rPr>
                <w:sz w:val="16"/>
                <w:szCs w:val="16"/>
              </w:rPr>
              <w:t xml:space="preserve"> la distanța medie de 6,1 km față de </w:t>
            </w:r>
            <w:r>
              <w:rPr>
                <w:rFonts w:eastAsia="Times New Roman" w:cs="Times New Roman"/>
                <w:color w:val="auto"/>
                <w:kern w:val="0"/>
                <w:sz w:val="16"/>
                <w:szCs w:val="16"/>
                <w:lang w:val="ro-RO" w:eastAsia="zh-CN" w:bidi="ar-SA"/>
              </w:rPr>
              <w:t>sit</w:t>
            </w:r>
            <w:r>
              <w:rPr>
                <w:sz w:val="16"/>
                <w:szCs w:val="16"/>
              </w:rPr>
              <w:t>.</w:t>
            </w:r>
          </w:p>
        </w:tc>
      </w:tr>
    </w:tbl>
    <w:p>
      <w:pPr>
        <w:pStyle w:val="TextBody"/>
        <w:rPr>
          <w:rFonts w:ascii="Times New Roman" w:hAnsi="Times New Roman" w:cs="Times New Roman"/>
          <w:b/>
          <w:b/>
          <w:bCs/>
          <w:i/>
          <w:i/>
          <w:iCs/>
          <w:color w:val="000000"/>
          <w:spacing w:val="-3"/>
        </w:rPr>
      </w:pPr>
      <w:r>
        <w:rPr>
          <w:rFonts w:cs="Times New Roman" w:ascii="Times New Roman" w:hAnsi="Times New Roman"/>
          <w:b/>
          <w:bCs/>
          <w:i/>
          <w:iCs/>
          <w:color w:val="000000"/>
          <w:spacing w:val="-3"/>
        </w:rPr>
        <w:t xml:space="preserve">Notă: </w:t>
      </w:r>
      <w:r>
        <w:rPr>
          <w:rFonts w:cs="Times New Roman" w:ascii="Times New Roman" w:hAnsi="Times New Roman"/>
          <w:color w:val="000000"/>
        </w:rPr>
        <w:t xml:space="preserve">Lucrări silvotehnice prezentate în tabelul anterior - reprezintă lucrările care se vor executa în U.P. IV Hășmaș și U.P. V Groseni </w:t>
      </w:r>
      <w:r>
        <w:rPr>
          <w:rFonts w:eastAsia="Times New Roman" w:cs="Times New Roman" w:ascii="Times New Roman" w:hAnsi="Times New Roman"/>
          <w:color w:val="000000"/>
          <w:kern w:val="0"/>
          <w:sz w:val="24"/>
          <w:szCs w:val="20"/>
          <w:lang w:val="ro-RO" w:eastAsia="zh-CN" w:bidi="ar-SA"/>
        </w:rPr>
        <w:t>în perioada de valabilitate a noului amenajament silvic</w:t>
      </w:r>
      <w:r>
        <w:rPr>
          <w:rFonts w:cs="Times New Roman" w:ascii="Times New Roman" w:hAnsi="Times New Roman"/>
          <w:color w:val="000000"/>
        </w:rPr>
        <w:t>.</w:t>
      </w:r>
    </w:p>
    <w:p>
      <w:pPr>
        <w:pStyle w:val="TextBody"/>
        <w:spacing w:lineRule="auto" w:line="360"/>
        <w:ind w:firstLine="567"/>
        <w:rPr/>
      </w:pPr>
      <w:r>
        <w:rPr>
          <w:rFonts w:cs="Times New Roman" w:ascii="Times New Roman" w:hAnsi="Times New Roman"/>
        </w:rPr>
        <w:t>Prin</w:t>
      </w:r>
      <w:r>
        <w:rPr>
          <w:rFonts w:cs="Times New Roman" w:ascii="Times New Roman" w:hAnsi="Times New Roman"/>
          <w:spacing w:val="3"/>
        </w:rPr>
        <w:t xml:space="preserve"> </w:t>
      </w:r>
      <w:r>
        <w:rPr>
          <w:rFonts w:cs="Times New Roman" w:ascii="Times New Roman" w:hAnsi="Times New Roman"/>
        </w:rPr>
        <w:t>amenajamentul</w:t>
      </w:r>
      <w:r>
        <w:rPr>
          <w:rFonts w:cs="Times New Roman" w:ascii="Times New Roman" w:hAnsi="Times New Roman"/>
          <w:spacing w:val="51"/>
        </w:rPr>
        <w:t xml:space="preserve"> </w:t>
      </w:r>
      <w:r>
        <w:rPr>
          <w:rFonts w:cs="Times New Roman" w:ascii="Times New Roman" w:hAnsi="Times New Roman"/>
        </w:rPr>
        <w:t>U.P.</w:t>
      </w:r>
      <w:r>
        <w:rPr>
          <w:rFonts w:cs="Times New Roman" w:ascii="Times New Roman" w:hAnsi="Times New Roman"/>
          <w:spacing w:val="65"/>
        </w:rPr>
        <w:t xml:space="preserve"> </w:t>
      </w:r>
      <w:r>
        <w:rPr>
          <w:rFonts w:cs="Times New Roman" w:ascii="Times New Roman" w:hAnsi="Times New Roman"/>
        </w:rPr>
        <w:t>V Groșeni,</w:t>
      </w:r>
      <w:r>
        <w:rPr>
          <w:rFonts w:cs="Times New Roman" w:ascii="Times New Roman" w:hAnsi="Times New Roman"/>
          <w:spacing w:val="65"/>
        </w:rPr>
        <w:t xml:space="preserve"> </w:t>
      </w:r>
      <w:r>
        <w:rPr>
          <w:rFonts w:eastAsia="Times New Roman" w:cs="Times New Roman" w:ascii="Times New Roman" w:hAnsi="Times New Roman"/>
          <w:color w:val="auto"/>
          <w:kern w:val="0"/>
          <w:sz w:val="24"/>
          <w:szCs w:val="20"/>
          <w:lang w:val="ro-RO" w:eastAsia="zh-CN" w:bidi="ar-SA"/>
        </w:rPr>
        <w:t>in</w:t>
      </w:r>
      <w:r>
        <w:rPr>
          <w:rFonts w:cs="Times New Roman" w:ascii="Times New Roman" w:hAnsi="Times New Roman"/>
          <w:spacing w:val="61"/>
        </w:rPr>
        <w:t xml:space="preserve"> </w:t>
      </w:r>
      <w:r>
        <w:rPr>
          <w:rFonts w:cs="Times New Roman" w:ascii="Times New Roman" w:hAnsi="Times New Roman"/>
        </w:rPr>
        <w:t>perioada</w:t>
      </w:r>
      <w:r>
        <w:rPr>
          <w:rFonts w:cs="Times New Roman" w:ascii="Times New Roman" w:hAnsi="Times New Roman"/>
          <w:spacing w:val="62"/>
        </w:rPr>
        <w:t xml:space="preserve"> </w:t>
      </w:r>
      <w:r>
        <w:rPr>
          <w:rFonts w:cs="Times New Roman" w:ascii="Times New Roman" w:hAnsi="Times New Roman"/>
        </w:rPr>
        <w:t>de</w:t>
      </w:r>
      <w:r>
        <w:rPr>
          <w:rFonts w:cs="Times New Roman" w:ascii="Times New Roman" w:hAnsi="Times New Roman"/>
          <w:spacing w:val="65"/>
        </w:rPr>
        <w:t xml:space="preserve"> </w:t>
      </w:r>
      <w:r>
        <w:rPr>
          <w:rFonts w:cs="Times New Roman" w:ascii="Times New Roman" w:hAnsi="Times New Roman"/>
        </w:rPr>
        <w:t>valabilitate</w:t>
      </w:r>
      <w:r>
        <w:rPr>
          <w:rFonts w:cs="Times New Roman" w:ascii="Times New Roman" w:hAnsi="Times New Roman"/>
          <w:spacing w:val="62"/>
        </w:rPr>
        <w:t xml:space="preserve"> </w:t>
      </w:r>
      <w:r>
        <w:rPr>
          <w:rFonts w:cs="Times New Roman" w:ascii="Times New Roman" w:hAnsi="Times New Roman"/>
        </w:rPr>
        <w:t>a</w:t>
      </w:r>
      <w:r>
        <w:rPr>
          <w:rFonts w:cs="Times New Roman" w:ascii="Times New Roman" w:hAnsi="Times New Roman"/>
          <w:spacing w:val="62"/>
        </w:rPr>
        <w:t xml:space="preserve"> </w:t>
      </w:r>
      <w:r>
        <w:rPr>
          <w:rFonts w:cs="Times New Roman" w:ascii="Times New Roman" w:hAnsi="Times New Roman"/>
        </w:rPr>
        <w:t>acestuia,</w:t>
      </w:r>
      <w:r>
        <w:rPr>
          <w:rFonts w:cs="Times New Roman" w:ascii="Times New Roman" w:hAnsi="Times New Roman"/>
          <w:spacing w:val="64"/>
        </w:rPr>
        <w:t xml:space="preserve">  </w:t>
      </w:r>
      <w:r>
        <w:rPr>
          <w:rFonts w:cs="Times New Roman" w:ascii="Times New Roman" w:hAnsi="Times New Roman"/>
        </w:rPr>
        <w:t>s-au</w:t>
      </w:r>
      <w:r>
        <w:rPr>
          <w:rFonts w:cs="Times New Roman" w:ascii="Times New Roman" w:hAnsi="Times New Roman"/>
          <w:spacing w:val="62"/>
        </w:rPr>
        <w:t xml:space="preserve"> </w:t>
      </w:r>
      <w:r>
        <w:rPr>
          <w:rFonts w:cs="Times New Roman" w:ascii="Times New Roman" w:hAnsi="Times New Roman"/>
        </w:rPr>
        <w:t>propus următoarele</w:t>
      </w:r>
      <w:r>
        <w:rPr>
          <w:rFonts w:cs="Times New Roman" w:ascii="Times New Roman" w:hAnsi="Times New Roman"/>
          <w:spacing w:val="-1"/>
        </w:rPr>
        <w:t xml:space="preserve"> </w:t>
      </w:r>
      <w:r>
        <w:rPr>
          <w:rFonts w:cs="Times New Roman" w:ascii="Times New Roman" w:hAnsi="Times New Roman"/>
        </w:rPr>
        <w:t>lucrări:</w:t>
      </w:r>
    </w:p>
    <w:p>
      <w:pPr>
        <w:pStyle w:val="Listparagraf"/>
        <w:widowControl w:val="false"/>
        <w:numPr>
          <w:ilvl w:val="0"/>
          <w:numId w:val="7"/>
        </w:numPr>
        <w:tabs>
          <w:tab w:val="clear" w:pos="720"/>
          <w:tab w:val="left" w:pos="1139" w:leader="none"/>
        </w:tabs>
        <w:spacing w:lineRule="auto" w:line="360"/>
        <w:ind w:left="0" w:right="238" w:firstLine="567"/>
        <w:jc w:val="both"/>
        <w:rPr>
          <w:sz w:val="24"/>
          <w:szCs w:val="24"/>
        </w:rPr>
      </w:pPr>
      <w:r>
        <w:rPr>
          <w:sz w:val="24"/>
          <w:szCs w:val="24"/>
        </w:rPr>
        <w:t>degajări: 9,72 ha/an;</w:t>
      </w:r>
    </w:p>
    <w:p>
      <w:pPr>
        <w:pStyle w:val="Listparagraf"/>
        <w:widowControl w:val="false"/>
        <w:numPr>
          <w:ilvl w:val="0"/>
          <w:numId w:val="7"/>
        </w:numPr>
        <w:tabs>
          <w:tab w:val="clear" w:pos="720"/>
          <w:tab w:val="left" w:pos="1139" w:leader="none"/>
        </w:tabs>
        <w:spacing w:lineRule="auto" w:line="360"/>
        <w:ind w:left="0" w:right="238" w:firstLine="567"/>
        <w:jc w:val="both"/>
        <w:rPr/>
      </w:pPr>
      <w:r>
        <w:rPr>
          <w:sz w:val="24"/>
          <w:szCs w:val="24"/>
        </w:rPr>
        <w:t>curăţiri: 5,94 ha/an, cu un volum de  recoltat de 14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34" w:firstLine="567"/>
        <w:jc w:val="both"/>
        <w:rPr/>
      </w:pPr>
      <w:r>
        <w:rPr>
          <w:sz w:val="24"/>
          <w:szCs w:val="24"/>
        </w:rPr>
        <w:t>rărituri: 13,89 ha/an, cu un volum de recoltat de 348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38" w:firstLine="567"/>
        <w:jc w:val="both"/>
        <w:rPr/>
      </w:pPr>
      <w:r>
        <w:rPr>
          <w:sz w:val="24"/>
          <w:szCs w:val="24"/>
        </w:rPr>
        <w:t>tăieri progresive: 20,84 ha/an, cu un volum de recoltat de 2376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38" w:firstLine="567"/>
        <w:jc w:val="both"/>
        <w:rPr/>
      </w:pPr>
      <w:r>
        <w:rPr>
          <w:sz w:val="24"/>
          <w:szCs w:val="24"/>
        </w:rPr>
        <w:t>tăieri rase: 0,03 ha/an, cu un volum de recoltare de 3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43" w:firstLine="567"/>
        <w:jc w:val="both"/>
        <w:rPr/>
      </w:pPr>
      <w:r>
        <w:rPr>
          <w:sz w:val="24"/>
          <w:szCs w:val="24"/>
        </w:rPr>
        <w:t>lucrări de conservare: 24,82 ha/an, cu un volum maxim de  recoltat 971 de m</w:t>
      </w:r>
      <w:r>
        <w:rPr>
          <w:sz w:val="24"/>
          <w:szCs w:val="24"/>
          <w:vertAlign w:val="superscript"/>
        </w:rPr>
        <w:t>3</w:t>
      </w:r>
      <w:r>
        <w:rPr>
          <w:sz w:val="24"/>
          <w:szCs w:val="24"/>
        </w:rPr>
        <w:t>/an;</w:t>
      </w:r>
    </w:p>
    <w:p>
      <w:pPr>
        <w:pStyle w:val="Listparagraf"/>
        <w:widowControl w:val="false"/>
        <w:numPr>
          <w:ilvl w:val="0"/>
          <w:numId w:val="7"/>
        </w:numPr>
        <w:tabs>
          <w:tab w:val="clear" w:pos="720"/>
          <w:tab w:val="left" w:pos="1139" w:leader="none"/>
        </w:tabs>
        <w:spacing w:lineRule="auto" w:line="360"/>
        <w:ind w:left="0" w:right="234" w:firstLine="567"/>
        <w:jc w:val="both"/>
        <w:rPr/>
      </w:pPr>
      <w:r>
        <w:rPr>
          <w:sz w:val="24"/>
          <w:szCs w:val="24"/>
        </w:rPr>
        <w:t>tăieri de igienă: 163,9 ha/an, cu un volum de recoltat  de 140 m</w:t>
      </w:r>
      <w:r>
        <w:rPr>
          <w:sz w:val="24"/>
          <w:szCs w:val="24"/>
          <w:vertAlign w:val="superscript"/>
        </w:rPr>
        <w:t>3</w:t>
      </w:r>
      <w:r>
        <w:rPr>
          <w:sz w:val="24"/>
          <w:szCs w:val="24"/>
        </w:rPr>
        <w:t>/an;</w:t>
      </w:r>
    </w:p>
    <w:p>
      <w:pPr>
        <w:pStyle w:val="Normal"/>
        <w:widowControl w:val="false"/>
        <w:numPr>
          <w:ilvl w:val="0"/>
          <w:numId w:val="7"/>
        </w:numPr>
        <w:tabs>
          <w:tab w:val="clear" w:pos="720"/>
          <w:tab w:val="left" w:pos="1139" w:leader="none"/>
        </w:tabs>
        <w:spacing w:before="0" w:after="0"/>
        <w:ind w:left="0" w:firstLine="567"/>
        <w:contextualSpacing/>
        <w:jc w:val="both"/>
        <w:rPr/>
      </w:pPr>
      <w:r>
        <w:rPr/>
        <w:t>împăduriri: 1,82 ha/an.</w:t>
      </w:r>
    </w:p>
    <w:p>
      <w:pPr>
        <w:pStyle w:val="Normal"/>
        <w:jc w:val="both"/>
        <w:rPr>
          <w:color w:val="FF0000"/>
        </w:rPr>
      </w:pPr>
      <w:r>
        <w:rPr>
          <w:color w:val="FF0000"/>
        </w:rPr>
      </w:r>
    </w:p>
    <w:p>
      <w:pPr>
        <w:pStyle w:val="Heading1"/>
        <w:numPr>
          <w:ilvl w:val="0"/>
          <w:numId w:val="2"/>
        </w:numPr>
        <w:rPr/>
      </w:pPr>
      <w:bookmarkStart w:id="9" w:name="_Toc171938298"/>
      <w:r>
        <w:rPr/>
        <w:t>B. Numele și codul ariei naturale protejate de interes comunitar (ANPIC)</w:t>
      </w:r>
      <w:bookmarkEnd w:id="9"/>
    </w:p>
    <w:p>
      <w:pPr>
        <w:pStyle w:val="Normal"/>
        <w:rPr>
          <w:color w:val="FF0000"/>
          <w:lang w:val="ro-RO"/>
        </w:rPr>
      </w:pPr>
      <w:r>
        <w:rPr>
          <w:color w:val="FF0000"/>
          <w:lang w:val="ro-RO"/>
        </w:rPr>
      </w:r>
    </w:p>
    <w:p>
      <w:pPr>
        <w:pStyle w:val="Heading2"/>
        <w:numPr>
          <w:ilvl w:val="1"/>
          <w:numId w:val="2"/>
        </w:numPr>
        <w:ind w:left="260" w:hanging="0"/>
        <w:rPr/>
      </w:pPr>
      <w:bookmarkStart w:id="10" w:name="_Toc171938299"/>
      <w:r>
        <w:rPr/>
        <w:t>B.1. Identificarea ANPIC potențial afectate de amenajamentul</w:t>
      </w:r>
      <w:bookmarkEnd w:id="10"/>
      <w:r>
        <w:rPr/>
        <w:t xml:space="preserve"> </w:t>
      </w:r>
    </w:p>
    <w:p>
      <w:pPr>
        <w:pStyle w:val="Normal"/>
        <w:jc w:val="center"/>
        <w:rPr>
          <w:b/>
          <w:b/>
          <w:bCs/>
          <w:color w:val="FF0000"/>
        </w:rPr>
      </w:pPr>
      <w:r>
        <w:rPr>
          <w:b/>
          <w:bCs/>
        </w:rPr>
        <w:t xml:space="preserve">U.P. </w:t>
      </w:r>
      <w:r>
        <w:rPr>
          <w:b/>
          <w:bCs/>
          <w:lang w:eastAsia="en-US"/>
        </w:rPr>
        <w:t xml:space="preserve">IV HAȘMAȘ, </w:t>
      </w:r>
      <w:r>
        <w:rPr>
          <w:b/>
          <w:bCs/>
        </w:rPr>
        <w:t xml:space="preserve">U.P. V </w:t>
      </w:r>
      <w:r>
        <w:rPr>
          <w:b/>
          <w:bCs/>
          <w:lang w:val="ro-RO"/>
        </w:rPr>
        <w:t>GROȘENI</w:t>
      </w:r>
    </w:p>
    <w:p>
      <w:pPr>
        <w:pStyle w:val="Normal"/>
        <w:jc w:val="center"/>
        <w:rPr>
          <w:b/>
          <w:b/>
          <w:bCs/>
          <w:color w:val="FF0000"/>
          <w:sz w:val="12"/>
          <w:szCs w:val="12"/>
        </w:rPr>
      </w:pPr>
      <w:r>
        <w:rPr>
          <w:b/>
          <w:bCs/>
          <w:color w:val="FF0000"/>
          <w:sz w:val="12"/>
          <w:szCs w:val="12"/>
        </w:rPr>
      </w:r>
    </w:p>
    <w:p>
      <w:pPr>
        <w:pStyle w:val="Normal"/>
        <w:spacing w:lineRule="auto" w:line="360"/>
        <w:ind w:firstLine="720"/>
        <w:jc w:val="both"/>
        <w:rPr/>
      </w:pPr>
      <w:r>
        <w:rPr/>
        <w:t xml:space="preserve">Identificarea ANPIC potențial afectate de amenajamentul U.P. IV Hășmaș, U.P. V Groșeni s-a realizat printr-o analiză spațială (GIS), prin aplicarea următoarelor criterii prevazute în Anexa 6A din OMMAP 1682/2023: </w:t>
      </w:r>
    </w:p>
    <w:p>
      <w:pPr>
        <w:pStyle w:val="Normal"/>
        <w:spacing w:lineRule="auto" w:line="360"/>
        <w:ind w:firstLine="720"/>
        <w:jc w:val="both"/>
        <w:rPr/>
      </w:pPr>
      <w:r>
        <w:rPr/>
        <w:t xml:space="preserve">a) intersecţie; </w:t>
      </w:r>
    </w:p>
    <w:p>
      <w:pPr>
        <w:pStyle w:val="Normal"/>
        <w:spacing w:lineRule="auto" w:line="360"/>
        <w:ind w:firstLine="720"/>
        <w:jc w:val="both"/>
        <w:rPr/>
      </w:pPr>
      <w:r>
        <w:rPr/>
        <w:t xml:space="preserve">b) învecinare (zona de influenţă); </w:t>
      </w:r>
    </w:p>
    <w:p>
      <w:pPr>
        <w:pStyle w:val="Normal"/>
        <w:spacing w:lineRule="auto" w:line="360"/>
        <w:ind w:firstLine="720"/>
        <w:jc w:val="both"/>
        <w:rPr/>
      </w:pPr>
      <w:r>
        <w:rPr/>
        <w:t xml:space="preserve">c) mobilitatea speciilor; </w:t>
      </w:r>
    </w:p>
    <w:p>
      <w:pPr>
        <w:pStyle w:val="Normal"/>
        <w:spacing w:lineRule="auto" w:line="360"/>
        <w:ind w:firstLine="720"/>
        <w:jc w:val="both"/>
        <w:rPr/>
      </w:pPr>
      <w:r>
        <w:rPr/>
        <w:t>d) conectivitate ecologică.</w:t>
      </w:r>
    </w:p>
    <w:p>
      <w:pPr>
        <w:pStyle w:val="Normal"/>
        <w:ind w:firstLine="720"/>
        <w:jc w:val="both"/>
        <w:rPr>
          <w:color w:val="FF0000"/>
          <w:sz w:val="12"/>
          <w:szCs w:val="12"/>
        </w:rPr>
      </w:pPr>
      <w:r>
        <w:rPr>
          <w:color w:val="FF0000"/>
          <w:sz w:val="12"/>
          <w:szCs w:val="12"/>
        </w:rPr>
      </w:r>
    </w:p>
    <w:p>
      <w:pPr>
        <w:pStyle w:val="Heading3"/>
        <w:numPr>
          <w:ilvl w:val="2"/>
          <w:numId w:val="2"/>
        </w:numPr>
        <w:rPr/>
      </w:pPr>
      <w:bookmarkStart w:id="11" w:name="_Toc171938300"/>
      <w:r>
        <w:rPr/>
        <w:t>B.1.1. Identificarea ANPIC intersectate</w:t>
      </w:r>
      <w:bookmarkEnd w:id="11"/>
    </w:p>
    <w:p>
      <w:pPr>
        <w:pStyle w:val="Normal"/>
        <w:spacing w:lineRule="auto" w:line="360"/>
        <w:jc w:val="center"/>
        <w:rPr>
          <w:b/>
          <w:b/>
          <w:bCs/>
          <w:sz w:val="12"/>
          <w:szCs w:val="12"/>
        </w:rPr>
      </w:pPr>
      <w:r>
        <w:rPr>
          <w:b/>
          <w:bCs/>
          <w:sz w:val="12"/>
          <w:szCs w:val="12"/>
        </w:rPr>
      </w:r>
    </w:p>
    <w:p>
      <w:pPr>
        <w:pStyle w:val="TextBody"/>
        <w:spacing w:lineRule="auto" w:line="360"/>
        <w:ind w:right="238" w:firstLine="709"/>
        <w:rPr/>
      </w:pPr>
      <w:r>
        <w:rPr>
          <w:rFonts w:cs="Times New Roman" w:ascii="Times New Roman" w:hAnsi="Times New Roman"/>
          <w:szCs w:val="24"/>
        </w:rPr>
        <w:t>În</w:t>
      </w:r>
      <w:r>
        <w:rPr>
          <w:rFonts w:cs="Times New Roman" w:ascii="Times New Roman" w:hAnsi="Times New Roman"/>
          <w:spacing w:val="1"/>
          <w:szCs w:val="24"/>
        </w:rPr>
        <w:t xml:space="preserve"> </w:t>
      </w:r>
      <w:r>
        <w:rPr>
          <w:rFonts w:cs="Times New Roman" w:ascii="Times New Roman" w:hAnsi="Times New Roman"/>
          <w:szCs w:val="24"/>
        </w:rPr>
        <w:t>urma</w:t>
      </w:r>
      <w:r>
        <w:rPr>
          <w:rFonts w:cs="Times New Roman" w:ascii="Times New Roman" w:hAnsi="Times New Roman"/>
          <w:spacing w:val="1"/>
          <w:szCs w:val="24"/>
        </w:rPr>
        <w:t xml:space="preserve"> </w:t>
      </w:r>
      <w:r>
        <w:rPr>
          <w:rFonts w:cs="Times New Roman" w:ascii="Times New Roman" w:hAnsi="Times New Roman"/>
          <w:szCs w:val="24"/>
        </w:rPr>
        <w:t>suprapunerii</w:t>
      </w:r>
      <w:r>
        <w:rPr>
          <w:rFonts w:cs="Times New Roman" w:ascii="Times New Roman" w:hAnsi="Times New Roman"/>
          <w:spacing w:val="1"/>
          <w:szCs w:val="24"/>
        </w:rPr>
        <w:t xml:space="preserve"> </w:t>
      </w:r>
      <w:r>
        <w:rPr>
          <w:rFonts w:cs="Times New Roman" w:ascii="Times New Roman" w:hAnsi="Times New Roman"/>
          <w:szCs w:val="24"/>
        </w:rPr>
        <w:t>fondului</w:t>
      </w:r>
      <w:r>
        <w:rPr>
          <w:rFonts w:cs="Times New Roman" w:ascii="Times New Roman" w:hAnsi="Times New Roman"/>
          <w:spacing w:val="1"/>
          <w:szCs w:val="24"/>
        </w:rPr>
        <w:t xml:space="preserve"> </w:t>
      </w:r>
      <w:r>
        <w:rPr>
          <w:rFonts w:cs="Times New Roman" w:ascii="Times New Roman" w:hAnsi="Times New Roman"/>
          <w:szCs w:val="24"/>
        </w:rPr>
        <w:t>forestier</w:t>
      </w:r>
      <w:r>
        <w:rPr>
          <w:rFonts w:cs="Times New Roman" w:ascii="Times New Roman" w:hAnsi="Times New Roman"/>
          <w:spacing w:val="1"/>
          <w:szCs w:val="24"/>
        </w:rPr>
        <w:t xml:space="preserve"> </w:t>
      </w:r>
      <w:r>
        <w:rPr>
          <w:rFonts w:cs="Times New Roman" w:ascii="Times New Roman" w:hAnsi="Times New Roman"/>
          <w:szCs w:val="24"/>
        </w:rPr>
        <w:t>proprietate</w:t>
      </w:r>
      <w:r>
        <w:rPr>
          <w:rFonts w:cs="Times New Roman" w:ascii="Times New Roman" w:hAnsi="Times New Roman"/>
          <w:spacing w:val="1"/>
          <w:szCs w:val="24"/>
        </w:rPr>
        <w:t xml:space="preserve"> </w:t>
      </w:r>
      <w:r>
        <w:rPr>
          <w:rFonts w:cs="Times New Roman" w:ascii="Times New Roman" w:hAnsi="Times New Roman"/>
          <w:szCs w:val="24"/>
        </w:rPr>
        <w:t>publică</w:t>
      </w:r>
      <w:r>
        <w:rPr>
          <w:rFonts w:cs="Times New Roman" w:ascii="Times New Roman" w:hAnsi="Times New Roman"/>
          <w:spacing w:val="1"/>
          <w:szCs w:val="24"/>
        </w:rPr>
        <w:t xml:space="preserve"> a </w:t>
      </w:r>
      <w:r>
        <w:rPr>
          <w:rFonts w:cs="Times New Roman" w:ascii="Times New Roman" w:hAnsi="Times New Roman"/>
          <w:szCs w:val="24"/>
        </w:rPr>
        <w:t>statului</w:t>
      </w:r>
      <w:r>
        <w:rPr>
          <w:rFonts w:cs="Times New Roman" w:ascii="Times New Roman" w:hAnsi="Times New Roman"/>
          <w:spacing w:val="1"/>
          <w:szCs w:val="24"/>
        </w:rPr>
        <w:t xml:space="preserve"> </w:t>
      </w:r>
      <w:r>
        <w:rPr>
          <w:rFonts w:cs="Times New Roman" w:ascii="Times New Roman" w:hAnsi="Times New Roman"/>
          <w:szCs w:val="24"/>
        </w:rPr>
        <w:t>din</w:t>
      </w:r>
      <w:r>
        <w:rPr>
          <w:rFonts w:cs="Times New Roman" w:ascii="Times New Roman" w:hAnsi="Times New Roman"/>
          <w:spacing w:val="1"/>
          <w:szCs w:val="24"/>
        </w:rPr>
        <w:t xml:space="preserve"> </w:t>
      </w:r>
      <w:r>
        <w:rPr>
          <w:rFonts w:cs="Times New Roman" w:ascii="Times New Roman" w:hAnsi="Times New Roman"/>
          <w:szCs w:val="24"/>
        </w:rPr>
        <w:t>U.P. IV Hășmaș cu</w:t>
      </w:r>
      <w:r>
        <w:rPr>
          <w:rFonts w:cs="Times New Roman" w:ascii="Times New Roman" w:hAnsi="Times New Roman"/>
          <w:spacing w:val="1"/>
          <w:szCs w:val="24"/>
        </w:rPr>
        <w:t xml:space="preserve"> </w:t>
      </w:r>
      <w:r>
        <w:rPr>
          <w:rFonts w:cs="Times New Roman" w:ascii="Times New Roman" w:hAnsi="Times New Roman"/>
          <w:szCs w:val="24"/>
        </w:rPr>
        <w:t>limitele/datele spațiale ale ANPIC, se constată că acesta (AS) se intersectează cu</w:t>
      </w:r>
      <w:r>
        <w:rPr>
          <w:rFonts w:cs="Times New Roman" w:ascii="Times New Roman" w:hAnsi="Times New Roman"/>
          <w:i/>
          <w:iCs/>
          <w:szCs w:val="24"/>
        </w:rPr>
        <w:t xml:space="preserve"> ROSCI0042 Codru Moma</w:t>
      </w:r>
      <w:r>
        <w:rPr>
          <w:rFonts w:cs="Times New Roman" w:ascii="Times New Roman" w:hAnsi="Times New Roman"/>
          <w:bCs/>
          <w:szCs w:val="24"/>
          <w:lang w:val="en-GB"/>
        </w:rPr>
        <w:t xml:space="preserve"> </w:t>
      </w:r>
      <w:r>
        <w:rPr>
          <w:rFonts w:cs="Times New Roman" w:ascii="Times New Roman" w:hAnsi="Times New Roman"/>
          <w:szCs w:val="24"/>
        </w:rPr>
        <w:t xml:space="preserve">pe o suprafață de ordinul metrilor pătrați, aceasta suprapunere fiind abaterea erorii gps-ului pe limita unității de producție, U.P. V Groșeni </w:t>
      </w:r>
      <w:r>
        <w:rPr>
          <w:rFonts w:cs="Times New Roman" w:ascii="Times New Roman" w:hAnsi="Times New Roman"/>
          <w:szCs w:val="24"/>
          <w:lang w:val="en-GB"/>
        </w:rPr>
        <w:t xml:space="preserve">se suprapune parțial pe ANPIC, </w:t>
      </w:r>
      <w:bookmarkStart w:id="12" w:name="_Hlk160610021"/>
      <w:r>
        <w:rPr>
          <w:rFonts w:cs="Times New Roman" w:ascii="Times New Roman" w:hAnsi="Times New Roman"/>
          <w:i/>
          <w:iCs/>
          <w:szCs w:val="24"/>
        </w:rPr>
        <w:t xml:space="preserve">ROSCI0042 Codru Moma </w:t>
      </w:r>
      <w:bookmarkEnd w:id="12"/>
      <w:r>
        <w:rPr>
          <w:rFonts w:cs="Times New Roman" w:ascii="Times New Roman" w:hAnsi="Times New Roman"/>
          <w:szCs w:val="24"/>
          <w:lang w:val="en-GB"/>
        </w:rPr>
        <w:t xml:space="preserve">pe o </w:t>
      </w:r>
      <w:r>
        <w:rPr>
          <w:rFonts w:cs="Times New Roman" w:ascii="Times New Roman" w:hAnsi="Times New Roman"/>
          <w:szCs w:val="24"/>
        </w:rPr>
        <w:t>suprafață de ordinul metrilor pătrați, aceasta suprapunere fiind abaterea erorii gps-ului pe limita unității de producție.</w:t>
      </w:r>
    </w:p>
    <w:p>
      <w:pPr>
        <w:pStyle w:val="TextBody"/>
        <w:ind w:right="239" w:firstLine="710"/>
        <w:rPr>
          <w:rFonts w:ascii="Times New Roman" w:hAnsi="Times New Roman" w:cs="Times New Roman"/>
          <w:szCs w:val="24"/>
        </w:rPr>
      </w:pPr>
      <w:r>
        <w:rPr>
          <w:rFonts w:cs="Times New Roman" w:ascii="Times New Roman" w:hAnsi="Times New Roman"/>
          <w:szCs w:val="24"/>
        </w:rPr>
      </w:r>
    </w:p>
    <w:p>
      <w:pPr>
        <w:pStyle w:val="Heading3"/>
        <w:numPr>
          <w:ilvl w:val="2"/>
          <w:numId w:val="2"/>
        </w:numPr>
        <w:rPr/>
      </w:pPr>
      <w:bookmarkStart w:id="13" w:name="_Hlk142938328"/>
      <w:bookmarkStart w:id="14" w:name="_Toc171938301"/>
      <w:r>
        <w:rPr/>
        <w:t>B.1.2. Identificarea ANPIC învecinate</w:t>
      </w:r>
      <w:bookmarkEnd w:id="13"/>
      <w:bookmarkEnd w:id="14"/>
    </w:p>
    <w:p>
      <w:pPr>
        <w:pStyle w:val="Normal"/>
        <w:rPr>
          <w:color w:val="FF0000"/>
          <w:lang w:val="ro-RO"/>
        </w:rPr>
      </w:pPr>
      <w:r>
        <w:rPr>
          <w:color w:val="FF0000"/>
          <w:lang w:val="ro-RO"/>
        </w:rPr>
      </w:r>
    </w:p>
    <w:p>
      <w:pPr>
        <w:pStyle w:val="Normal"/>
        <w:spacing w:lineRule="auto" w:line="360"/>
        <w:ind w:firstLine="720"/>
        <w:jc w:val="both"/>
        <w:rPr>
          <w:b/>
          <w:b/>
          <w:i/>
          <w:i/>
          <w:color w:val="000000"/>
        </w:rPr>
      </w:pPr>
      <w:r>
        <w:rPr>
          <w:color w:val="000000"/>
        </w:rPr>
        <w:t>Aplicând</w:t>
      </w:r>
      <w:r>
        <w:rPr>
          <w:color w:val="000000"/>
          <w:spacing w:val="2"/>
        </w:rPr>
        <w:t xml:space="preserve"> </w:t>
      </w:r>
      <w:r>
        <w:rPr>
          <w:color w:val="000000"/>
        </w:rPr>
        <w:t>acest</w:t>
      </w:r>
      <w:r>
        <w:rPr>
          <w:color w:val="000000"/>
          <w:spacing w:val="3"/>
        </w:rPr>
        <w:t xml:space="preserve"> </w:t>
      </w:r>
      <w:r>
        <w:rPr>
          <w:color w:val="000000"/>
        </w:rPr>
        <w:t>criteriu</w:t>
      </w:r>
      <w:r>
        <w:rPr>
          <w:color w:val="000000"/>
          <w:spacing w:val="-2"/>
        </w:rPr>
        <w:t xml:space="preserve"> </w:t>
      </w:r>
      <w:r>
        <w:rPr>
          <w:color w:val="000000"/>
        </w:rPr>
        <w:t>s-a</w:t>
      </w:r>
      <w:r>
        <w:rPr>
          <w:color w:val="000000"/>
          <w:spacing w:val="2"/>
        </w:rPr>
        <w:t xml:space="preserve"> </w:t>
      </w:r>
      <w:r>
        <w:rPr>
          <w:color w:val="000000"/>
        </w:rPr>
        <w:t>identificat</w:t>
      </w:r>
      <w:r>
        <w:rPr>
          <w:color w:val="000000"/>
          <w:spacing w:val="1"/>
        </w:rPr>
        <w:t xml:space="preserve"> </w:t>
      </w:r>
      <w:r>
        <w:rPr>
          <w:bCs/>
          <w:iCs/>
          <w:color w:val="000000"/>
        </w:rPr>
        <w:t>nu s-au identificat alte arii naturale protejate</w:t>
      </w:r>
      <w:r>
        <w:rPr>
          <w:bCs/>
          <w:iCs/>
          <w:color w:val="000000"/>
          <w:spacing w:val="-1"/>
        </w:rPr>
        <w:t xml:space="preserve"> î</w:t>
      </w:r>
      <w:r>
        <w:rPr>
          <w:color w:val="000000"/>
          <w:spacing w:val="-1"/>
        </w:rPr>
        <w:t xml:space="preserve">nvecinate </w:t>
      </w:r>
      <w:r>
        <w:rPr>
          <w:color w:val="000000"/>
        </w:rPr>
        <w:t>cu</w:t>
      </w:r>
      <w:r>
        <w:rPr>
          <w:color w:val="000000"/>
          <w:spacing w:val="-2"/>
        </w:rPr>
        <w:t xml:space="preserve"> </w:t>
      </w:r>
      <w:r>
        <w:rPr>
          <w:color w:val="000000"/>
        </w:rPr>
        <w:t xml:space="preserve">OS Beliu. </w:t>
      </w:r>
      <w:r>
        <w:rPr>
          <w:color w:val="000000"/>
          <w:lang w:val="ro-RO"/>
        </w:rPr>
        <w:t>(Anexa 2)</w:t>
      </w:r>
    </w:p>
    <w:p>
      <w:pPr>
        <w:pStyle w:val="Normal"/>
        <w:spacing w:lineRule="auto" w:line="360"/>
        <w:ind w:firstLine="709"/>
        <w:jc w:val="both"/>
        <w:rPr/>
      </w:pPr>
      <w:r>
        <w:rPr>
          <w:color w:val="000000"/>
        </w:rPr>
        <w:t>Deosebim</w:t>
      </w:r>
      <w:r>
        <w:rPr>
          <w:color w:val="000000"/>
          <w:spacing w:val="-10"/>
        </w:rPr>
        <w:t xml:space="preserve"> </w:t>
      </w:r>
      <w:r>
        <w:rPr>
          <w:b/>
          <w:i/>
          <w:color w:val="000000"/>
        </w:rPr>
        <w:t>2</w:t>
      </w:r>
      <w:r>
        <w:rPr>
          <w:b/>
          <w:i/>
          <w:color w:val="000000"/>
          <w:spacing w:val="1"/>
        </w:rPr>
        <w:t xml:space="preserve"> </w:t>
      </w:r>
      <w:r>
        <w:rPr>
          <w:b/>
          <w:i/>
          <w:color w:val="000000"/>
        </w:rPr>
        <w:t>posibile zone</w:t>
      </w:r>
      <w:r>
        <w:rPr>
          <w:b/>
          <w:i/>
          <w:color w:val="000000"/>
          <w:spacing w:val="-1"/>
        </w:rPr>
        <w:t xml:space="preserve"> </w:t>
      </w:r>
      <w:r>
        <w:rPr>
          <w:b/>
          <w:i/>
          <w:color w:val="000000"/>
        </w:rPr>
        <w:t>de influență</w:t>
      </w:r>
      <w:r>
        <w:rPr>
          <w:color w:val="000000"/>
        </w:rPr>
        <w:t>,</w:t>
      </w:r>
      <w:r>
        <w:rPr>
          <w:color w:val="000000"/>
          <w:spacing w:val="-2"/>
        </w:rPr>
        <w:t xml:space="preserve"> </w:t>
      </w:r>
      <w:r>
        <w:rPr>
          <w:color w:val="000000"/>
        </w:rPr>
        <w:t>și</w:t>
      </w:r>
      <w:r>
        <w:rPr>
          <w:color w:val="000000"/>
          <w:spacing w:val="-8"/>
        </w:rPr>
        <w:t xml:space="preserve"> </w:t>
      </w:r>
      <w:r>
        <w:rPr>
          <w:color w:val="000000"/>
        </w:rPr>
        <w:t>anume</w:t>
      </w:r>
    </w:p>
    <w:p>
      <w:pPr>
        <w:pStyle w:val="Listparagraf"/>
        <w:widowControl w:val="false"/>
        <w:numPr>
          <w:ilvl w:val="3"/>
          <w:numId w:val="8"/>
        </w:numPr>
        <w:tabs>
          <w:tab w:val="clear" w:pos="720"/>
          <w:tab w:val="left" w:pos="1672" w:leader="none"/>
        </w:tabs>
        <w:spacing w:lineRule="auto" w:line="360"/>
        <w:ind w:left="0" w:right="233" w:firstLine="1132"/>
        <w:jc w:val="both"/>
        <w:rPr/>
      </w:pPr>
      <w:r>
        <w:rPr>
          <w:i/>
          <w:color w:val="000000"/>
          <w:sz w:val="24"/>
          <w:u w:val="single"/>
        </w:rPr>
        <w:t>zonă</w:t>
      </w:r>
      <w:r>
        <w:rPr>
          <w:i/>
          <w:color w:val="000000"/>
          <w:spacing w:val="37"/>
          <w:sz w:val="24"/>
          <w:u w:val="single"/>
        </w:rPr>
        <w:t xml:space="preserve"> </w:t>
      </w:r>
      <w:r>
        <w:rPr>
          <w:i/>
          <w:color w:val="000000"/>
          <w:sz w:val="24"/>
          <w:u w:val="single"/>
        </w:rPr>
        <w:t>de</w:t>
      </w:r>
      <w:r>
        <w:rPr>
          <w:i/>
          <w:color w:val="000000"/>
          <w:spacing w:val="38"/>
          <w:sz w:val="24"/>
          <w:u w:val="single"/>
        </w:rPr>
        <w:t xml:space="preserve"> </w:t>
      </w:r>
      <w:r>
        <w:rPr>
          <w:i/>
          <w:color w:val="000000"/>
          <w:sz w:val="24"/>
          <w:u w:val="single"/>
        </w:rPr>
        <w:t>influență</w:t>
      </w:r>
      <w:r>
        <w:rPr>
          <w:i/>
          <w:color w:val="000000"/>
          <w:spacing w:val="33"/>
          <w:sz w:val="24"/>
          <w:u w:val="single"/>
        </w:rPr>
        <w:t xml:space="preserve"> </w:t>
      </w:r>
      <w:r>
        <w:rPr>
          <w:i/>
          <w:color w:val="000000"/>
          <w:sz w:val="24"/>
          <w:u w:val="single"/>
        </w:rPr>
        <w:t>directă</w:t>
      </w:r>
      <w:r>
        <w:rPr>
          <w:i/>
          <w:color w:val="000000"/>
          <w:spacing w:val="38"/>
          <w:sz w:val="24"/>
        </w:rPr>
        <w:t xml:space="preserve"> </w:t>
      </w:r>
      <w:r>
        <w:rPr>
          <w:color w:val="000000"/>
          <w:sz w:val="24"/>
        </w:rPr>
        <w:t>-</w:t>
      </w:r>
      <w:r>
        <w:rPr>
          <w:color w:val="000000"/>
          <w:spacing w:val="34"/>
          <w:sz w:val="24"/>
        </w:rPr>
        <w:t xml:space="preserve"> </w:t>
      </w:r>
      <w:r>
        <w:rPr>
          <w:color w:val="000000"/>
          <w:sz w:val="24"/>
        </w:rPr>
        <w:t>zonă</w:t>
      </w:r>
      <w:r>
        <w:rPr>
          <w:color w:val="000000"/>
          <w:spacing w:val="38"/>
          <w:sz w:val="24"/>
        </w:rPr>
        <w:t xml:space="preserve"> </w:t>
      </w:r>
      <w:r>
        <w:rPr>
          <w:color w:val="000000"/>
          <w:sz w:val="24"/>
        </w:rPr>
        <w:t>în</w:t>
      </w:r>
      <w:r>
        <w:rPr>
          <w:color w:val="000000"/>
          <w:spacing w:val="33"/>
          <w:sz w:val="24"/>
        </w:rPr>
        <w:t xml:space="preserve"> </w:t>
      </w:r>
      <w:r>
        <w:rPr>
          <w:color w:val="000000"/>
          <w:sz w:val="24"/>
        </w:rPr>
        <w:t>care</w:t>
      </w:r>
      <w:r>
        <w:rPr>
          <w:color w:val="000000"/>
          <w:spacing w:val="38"/>
          <w:sz w:val="24"/>
        </w:rPr>
        <w:t xml:space="preserve"> </w:t>
      </w:r>
      <w:r>
        <w:rPr>
          <w:color w:val="000000"/>
          <w:sz w:val="24"/>
        </w:rPr>
        <w:t>se</w:t>
      </w:r>
      <w:r>
        <w:rPr>
          <w:color w:val="000000"/>
          <w:spacing w:val="37"/>
          <w:sz w:val="24"/>
        </w:rPr>
        <w:t xml:space="preserve"> </w:t>
      </w:r>
      <w:r>
        <w:rPr>
          <w:color w:val="000000"/>
          <w:sz w:val="24"/>
        </w:rPr>
        <w:t>resimt</w:t>
      </w:r>
      <w:r>
        <w:rPr>
          <w:color w:val="000000"/>
          <w:spacing w:val="41"/>
          <w:sz w:val="24"/>
        </w:rPr>
        <w:t xml:space="preserve"> </w:t>
      </w:r>
      <w:r>
        <w:rPr>
          <w:color w:val="000000"/>
          <w:sz w:val="24"/>
        </w:rPr>
        <w:t>efectele</w:t>
      </w:r>
      <w:r>
        <w:rPr>
          <w:color w:val="000000"/>
          <w:spacing w:val="37"/>
          <w:sz w:val="24"/>
        </w:rPr>
        <w:t xml:space="preserve"> </w:t>
      </w:r>
      <w:r>
        <w:rPr>
          <w:color w:val="000000"/>
          <w:sz w:val="24"/>
        </w:rPr>
        <w:t>generate</w:t>
      </w:r>
      <w:r>
        <w:rPr>
          <w:color w:val="000000"/>
          <w:spacing w:val="38"/>
          <w:sz w:val="24"/>
        </w:rPr>
        <w:t xml:space="preserve"> </w:t>
      </w:r>
      <w:r>
        <w:rPr>
          <w:color w:val="000000"/>
          <w:sz w:val="24"/>
        </w:rPr>
        <w:t>de</w:t>
      </w:r>
      <w:r>
        <w:rPr>
          <w:color w:val="000000"/>
          <w:spacing w:val="37"/>
          <w:sz w:val="24"/>
        </w:rPr>
        <w:t xml:space="preserve"> </w:t>
      </w:r>
      <w:r>
        <w:rPr>
          <w:color w:val="000000"/>
          <w:sz w:val="24"/>
        </w:rPr>
        <w:t>plan,</w:t>
      </w:r>
      <w:r>
        <w:rPr>
          <w:color w:val="000000"/>
          <w:spacing w:val="41"/>
          <w:sz w:val="24"/>
        </w:rPr>
        <w:t xml:space="preserve"> </w:t>
      </w:r>
      <w:r>
        <w:rPr>
          <w:color w:val="000000"/>
          <w:sz w:val="24"/>
        </w:rPr>
        <w:t xml:space="preserve">precum </w:t>
      </w:r>
      <w:r>
        <w:rPr>
          <w:color w:val="000000"/>
          <w:spacing w:val="-57"/>
          <w:sz w:val="24"/>
        </w:rPr>
        <w:t xml:space="preserve"> </w:t>
      </w:r>
      <w:r>
        <w:rPr>
          <w:color w:val="000000"/>
          <w:sz w:val="24"/>
        </w:rPr>
        <w:t>zgomot,</w:t>
      </w:r>
      <w:r>
        <w:rPr>
          <w:color w:val="000000"/>
          <w:spacing w:val="2"/>
          <w:sz w:val="24"/>
        </w:rPr>
        <w:t xml:space="preserve"> </w:t>
      </w:r>
      <w:r>
        <w:rPr>
          <w:color w:val="000000"/>
          <w:sz w:val="24"/>
        </w:rPr>
        <w:t>poluanți</w:t>
      </w:r>
      <w:r>
        <w:rPr>
          <w:color w:val="000000"/>
          <w:spacing w:val="-9"/>
          <w:sz w:val="24"/>
        </w:rPr>
        <w:t xml:space="preserve"> </w:t>
      </w:r>
      <w:r>
        <w:rPr>
          <w:color w:val="000000"/>
          <w:sz w:val="24"/>
        </w:rPr>
        <w:t>atmosferici,</w:t>
      </w:r>
      <w:r>
        <w:rPr>
          <w:color w:val="000000"/>
          <w:spacing w:val="7"/>
          <w:sz w:val="24"/>
        </w:rPr>
        <w:t xml:space="preserve"> </w:t>
      </w:r>
      <w:r>
        <w:rPr>
          <w:color w:val="000000"/>
          <w:sz w:val="24"/>
        </w:rPr>
        <w:t>iluminat</w:t>
      </w:r>
      <w:r>
        <w:rPr>
          <w:color w:val="000000"/>
          <w:spacing w:val="5"/>
          <w:sz w:val="24"/>
        </w:rPr>
        <w:t xml:space="preserve"> </w:t>
      </w:r>
      <w:r>
        <w:rPr>
          <w:color w:val="000000"/>
          <w:sz w:val="24"/>
        </w:rPr>
        <w:t>artificial,</w:t>
      </w:r>
      <w:r>
        <w:rPr>
          <w:color w:val="000000"/>
          <w:spacing w:val="3"/>
          <w:sz w:val="24"/>
        </w:rPr>
        <w:t xml:space="preserve"> </w:t>
      </w:r>
      <w:r>
        <w:rPr>
          <w:color w:val="000000"/>
          <w:sz w:val="24"/>
        </w:rPr>
        <w:t>dispersia</w:t>
      </w:r>
      <w:r>
        <w:rPr>
          <w:color w:val="000000"/>
          <w:spacing w:val="-1"/>
          <w:sz w:val="24"/>
        </w:rPr>
        <w:t xml:space="preserve"> </w:t>
      </w:r>
      <w:r>
        <w:rPr>
          <w:color w:val="000000"/>
          <w:sz w:val="24"/>
        </w:rPr>
        <w:t>speciilor</w:t>
      </w:r>
      <w:r>
        <w:rPr>
          <w:color w:val="000000"/>
          <w:spacing w:val="6"/>
          <w:sz w:val="24"/>
        </w:rPr>
        <w:t xml:space="preserve"> </w:t>
      </w:r>
      <w:r>
        <w:rPr>
          <w:color w:val="000000"/>
          <w:sz w:val="24"/>
        </w:rPr>
        <w:t>invazive,</w:t>
      </w:r>
      <w:r>
        <w:rPr>
          <w:color w:val="000000"/>
          <w:spacing w:val="2"/>
          <w:sz w:val="24"/>
        </w:rPr>
        <w:t xml:space="preserve"> </w:t>
      </w:r>
      <w:r>
        <w:rPr>
          <w:color w:val="000000"/>
          <w:sz w:val="24"/>
        </w:rPr>
        <w:t>și</w:t>
      </w:r>
      <w:r>
        <w:rPr>
          <w:color w:val="000000"/>
          <w:spacing w:val="-8"/>
          <w:sz w:val="24"/>
        </w:rPr>
        <w:t xml:space="preserve"> </w:t>
      </w:r>
      <w:r>
        <w:rPr>
          <w:color w:val="000000"/>
          <w:sz w:val="24"/>
        </w:rPr>
        <w:t>altele;</w:t>
      </w:r>
    </w:p>
    <w:p>
      <w:pPr>
        <w:pStyle w:val="Listparagraf"/>
        <w:widowControl w:val="false"/>
        <w:numPr>
          <w:ilvl w:val="3"/>
          <w:numId w:val="8"/>
        </w:numPr>
        <w:tabs>
          <w:tab w:val="clear" w:pos="720"/>
          <w:tab w:val="left" w:pos="1700" w:leader="none"/>
        </w:tabs>
        <w:spacing w:lineRule="auto" w:line="360"/>
        <w:ind w:left="0" w:right="247" w:firstLine="1134"/>
        <w:jc w:val="both"/>
        <w:rPr/>
      </w:pPr>
      <w:r>
        <w:rPr>
          <w:i/>
          <w:color w:val="000000"/>
          <w:sz w:val="24"/>
          <w:u w:val="single"/>
        </w:rPr>
        <w:t>zonă</w:t>
      </w:r>
      <w:r>
        <w:rPr>
          <w:i/>
          <w:color w:val="000000"/>
          <w:spacing w:val="6"/>
          <w:sz w:val="24"/>
          <w:u w:val="single"/>
        </w:rPr>
        <w:t xml:space="preserve"> </w:t>
      </w:r>
      <w:r>
        <w:rPr>
          <w:i/>
          <w:color w:val="000000"/>
          <w:sz w:val="24"/>
          <w:u w:val="single"/>
        </w:rPr>
        <w:t>de</w:t>
      </w:r>
      <w:r>
        <w:rPr>
          <w:i/>
          <w:color w:val="000000"/>
          <w:spacing w:val="5"/>
          <w:sz w:val="24"/>
          <w:u w:val="single"/>
        </w:rPr>
        <w:t xml:space="preserve"> </w:t>
      </w:r>
      <w:r>
        <w:rPr>
          <w:i/>
          <w:color w:val="000000"/>
          <w:sz w:val="24"/>
          <w:u w:val="single"/>
        </w:rPr>
        <w:t>influență</w:t>
      </w:r>
      <w:r>
        <w:rPr>
          <w:i/>
          <w:color w:val="000000"/>
          <w:spacing w:val="6"/>
          <w:sz w:val="24"/>
          <w:u w:val="single"/>
        </w:rPr>
        <w:t xml:space="preserve"> </w:t>
      </w:r>
      <w:r>
        <w:rPr>
          <w:i/>
          <w:color w:val="000000"/>
          <w:sz w:val="24"/>
          <w:u w:val="single"/>
        </w:rPr>
        <w:t>indirectă</w:t>
      </w:r>
      <w:r>
        <w:rPr>
          <w:i/>
          <w:color w:val="000000"/>
          <w:spacing w:val="6"/>
          <w:sz w:val="24"/>
        </w:rPr>
        <w:t xml:space="preserve"> </w:t>
      </w:r>
      <w:r>
        <w:rPr>
          <w:color w:val="000000"/>
          <w:sz w:val="24"/>
        </w:rPr>
        <w:t>-</w:t>
      </w:r>
      <w:r>
        <w:rPr>
          <w:color w:val="000000"/>
          <w:spacing w:val="8"/>
          <w:sz w:val="24"/>
        </w:rPr>
        <w:t xml:space="preserve"> </w:t>
      </w:r>
      <w:r>
        <w:rPr>
          <w:color w:val="000000"/>
          <w:sz w:val="24"/>
        </w:rPr>
        <w:t>zonă</w:t>
      </w:r>
      <w:r>
        <w:rPr>
          <w:color w:val="000000"/>
          <w:spacing w:val="10"/>
          <w:sz w:val="24"/>
        </w:rPr>
        <w:t xml:space="preserve"> </w:t>
      </w:r>
      <w:r>
        <w:rPr>
          <w:color w:val="000000"/>
          <w:sz w:val="24"/>
        </w:rPr>
        <w:t>în</w:t>
      </w:r>
      <w:r>
        <w:rPr>
          <w:color w:val="000000"/>
          <w:spacing w:val="2"/>
          <w:sz w:val="24"/>
        </w:rPr>
        <w:t xml:space="preserve"> </w:t>
      </w:r>
      <w:r>
        <w:rPr>
          <w:color w:val="000000"/>
          <w:sz w:val="24"/>
        </w:rPr>
        <w:t>care</w:t>
      </w:r>
      <w:r>
        <w:rPr>
          <w:color w:val="000000"/>
          <w:spacing w:val="5"/>
          <w:sz w:val="24"/>
        </w:rPr>
        <w:t xml:space="preserve"> </w:t>
      </w:r>
      <w:r>
        <w:rPr>
          <w:color w:val="000000"/>
          <w:sz w:val="24"/>
        </w:rPr>
        <w:t>apar</w:t>
      </w:r>
      <w:r>
        <w:rPr>
          <w:color w:val="000000"/>
          <w:spacing w:val="8"/>
          <w:sz w:val="24"/>
        </w:rPr>
        <w:t xml:space="preserve"> </w:t>
      </w:r>
      <w:r>
        <w:rPr>
          <w:color w:val="000000"/>
          <w:sz w:val="24"/>
        </w:rPr>
        <w:t>efecte</w:t>
      </w:r>
      <w:r>
        <w:rPr>
          <w:color w:val="000000"/>
          <w:spacing w:val="5"/>
          <w:sz w:val="24"/>
        </w:rPr>
        <w:t xml:space="preserve"> </w:t>
      </w:r>
      <w:r>
        <w:rPr>
          <w:color w:val="000000"/>
          <w:sz w:val="24"/>
        </w:rPr>
        <w:t>generate</w:t>
      </w:r>
      <w:r>
        <w:rPr>
          <w:color w:val="000000"/>
          <w:spacing w:val="5"/>
          <w:sz w:val="24"/>
        </w:rPr>
        <w:t xml:space="preserve"> </w:t>
      </w:r>
      <w:r>
        <w:rPr>
          <w:color w:val="000000"/>
          <w:sz w:val="24"/>
        </w:rPr>
        <w:t>de</w:t>
      </w:r>
      <w:r>
        <w:rPr>
          <w:color w:val="000000"/>
          <w:spacing w:val="5"/>
          <w:sz w:val="24"/>
        </w:rPr>
        <w:t xml:space="preserve"> </w:t>
      </w:r>
      <w:r>
        <w:rPr>
          <w:color w:val="000000"/>
          <w:sz w:val="24"/>
        </w:rPr>
        <w:t>alte</w:t>
      </w:r>
      <w:r>
        <w:rPr>
          <w:color w:val="000000"/>
          <w:spacing w:val="5"/>
          <w:sz w:val="24"/>
        </w:rPr>
        <w:t xml:space="preserve"> </w:t>
      </w:r>
      <w:r>
        <w:rPr>
          <w:color w:val="000000"/>
          <w:sz w:val="24"/>
        </w:rPr>
        <w:t>activități,</w:t>
      </w:r>
      <w:r>
        <w:rPr>
          <w:color w:val="000000"/>
          <w:spacing w:val="-57"/>
          <w:sz w:val="24"/>
        </w:rPr>
        <w:t xml:space="preserve"> </w:t>
      </w:r>
      <w:r>
        <w:rPr>
          <w:color w:val="000000"/>
          <w:sz w:val="24"/>
        </w:rPr>
        <w:t>modificate ca</w:t>
      </w:r>
      <w:r>
        <w:rPr>
          <w:color w:val="000000"/>
          <w:spacing w:val="1"/>
          <w:sz w:val="24"/>
        </w:rPr>
        <w:t xml:space="preserve"> </w:t>
      </w:r>
      <w:r>
        <w:rPr>
          <w:color w:val="000000"/>
          <w:sz w:val="24"/>
        </w:rPr>
        <w:t>urmare a</w:t>
      </w:r>
      <w:r>
        <w:rPr>
          <w:color w:val="000000"/>
          <w:spacing w:val="6"/>
          <w:sz w:val="24"/>
        </w:rPr>
        <w:t xml:space="preserve"> </w:t>
      </w:r>
      <w:r>
        <w:rPr>
          <w:color w:val="000000"/>
          <w:sz w:val="24"/>
        </w:rPr>
        <w:t>implementării</w:t>
      </w:r>
      <w:r>
        <w:rPr>
          <w:color w:val="000000"/>
          <w:spacing w:val="-2"/>
          <w:sz w:val="24"/>
        </w:rPr>
        <w:t xml:space="preserve"> </w:t>
      </w:r>
      <w:r>
        <w:rPr>
          <w:color w:val="000000"/>
          <w:sz w:val="24"/>
        </w:rPr>
        <w:t>planului</w:t>
      </w:r>
      <w:r>
        <w:rPr>
          <w:color w:val="000000"/>
          <w:spacing w:val="-8"/>
          <w:sz w:val="24"/>
        </w:rPr>
        <w:t xml:space="preserve"> </w:t>
      </w:r>
      <w:r>
        <w:rPr>
          <w:color w:val="000000"/>
          <w:sz w:val="24"/>
        </w:rPr>
        <w:t>analizat.</w:t>
      </w:r>
    </w:p>
    <w:p>
      <w:pPr>
        <w:pStyle w:val="Normal"/>
        <w:spacing w:lineRule="auto" w:line="360"/>
        <w:ind w:firstLine="720"/>
        <w:jc w:val="both"/>
        <w:rPr>
          <w:color w:val="000000"/>
        </w:rPr>
      </w:pPr>
      <w:r>
        <w:rPr>
          <w:color w:val="000000"/>
        </w:rPr>
        <w:t>În Tabelul B.1.2. sunt prezentate ANPIC potențial afectate, precum și măsurile restrictive din Planurile de Management (PM) al acestora sau setul minim de măsuri speciale de protecție și conservare a diversității biologice.</w:t>
      </w:r>
    </w:p>
    <w:p>
      <w:pPr>
        <w:pStyle w:val="Normal"/>
        <w:spacing w:lineRule="auto" w:line="360"/>
        <w:ind w:hanging="0"/>
        <w:jc w:val="both"/>
        <w:rPr>
          <w:color w:val="000000"/>
          <w:sz w:val="12"/>
          <w:szCs w:val="12"/>
          <w:lang w:val="ro-RO"/>
        </w:rPr>
      </w:pPr>
      <w:r>
        <w:rPr>
          <w:color w:val="000000"/>
          <w:sz w:val="12"/>
          <w:szCs w:val="12"/>
          <w:lang w:val="ro-RO"/>
        </w:rPr>
      </w:r>
    </w:p>
    <w:p>
      <w:pPr>
        <w:pStyle w:val="Normal"/>
        <w:spacing w:lineRule="auto" w:line="360"/>
        <w:ind w:hanging="0"/>
        <w:jc w:val="center"/>
        <w:rPr>
          <w:color w:val="000000"/>
          <w:lang w:val="ro-RO"/>
        </w:rPr>
      </w:pPr>
      <w:r>
        <w:rPr>
          <w:color w:val="000000"/>
          <w:lang w:val="ro-RO"/>
        </w:rPr>
        <w:t>Informații privind ANPIC potențial afectate de PP</w:t>
      </w:r>
    </w:p>
    <w:p>
      <w:pPr>
        <w:pStyle w:val="Normal"/>
        <w:overflowPunct w:val="false"/>
        <w:jc w:val="right"/>
        <w:textAlignment w:val="baseline"/>
        <w:rPr>
          <w:lang w:val="en-GB"/>
        </w:rPr>
      </w:pPr>
      <w:r>
        <w:rPr>
          <w:lang w:val="en-GB"/>
        </w:rPr>
        <w:t xml:space="preserve">Tabelul </w:t>
      </w:r>
      <w:r>
        <w:rPr>
          <w:lang w:val="ro-RO"/>
        </w:rPr>
        <w:t>nr</w:t>
      </w:r>
      <w:r>
        <w:rPr>
          <w:rFonts w:eastAsia="Times New Roman" w:cs="Times New Roman"/>
          <w:color w:val="auto"/>
          <w:kern w:val="0"/>
          <w:sz w:val="24"/>
          <w:szCs w:val="24"/>
          <w:lang w:val="ro-RO" w:eastAsia="zh-CN" w:bidi="ar-SA"/>
        </w:rPr>
        <w:t>. 2</w:t>
      </w:r>
      <w:r>
        <w:rPr>
          <w:lang w:val="en-GB"/>
        </w:rPr>
        <w:t>.</w:t>
      </w:r>
    </w:p>
    <w:tbl>
      <w:tblPr>
        <w:tblW w:w="5000" w:type="pct"/>
        <w:jc w:val="center"/>
        <w:tblInd w:w="0" w:type="dxa"/>
        <w:tblCellMar>
          <w:top w:w="0" w:type="dxa"/>
          <w:left w:w="108" w:type="dxa"/>
          <w:bottom w:w="0" w:type="dxa"/>
          <w:right w:w="108" w:type="dxa"/>
        </w:tblCellMar>
        <w:tblLook w:firstRow="1" w:noVBand="1" w:lastRow="0" w:firstColumn="1" w:lastColumn="0" w:noHBand="0" w:val="04a0"/>
      </w:tblPr>
      <w:tblGrid>
        <w:gridCol w:w="1051"/>
        <w:gridCol w:w="764"/>
        <w:gridCol w:w="913"/>
        <w:gridCol w:w="1042"/>
        <w:gridCol w:w="914"/>
        <w:gridCol w:w="1091"/>
        <w:gridCol w:w="1130"/>
        <w:gridCol w:w="2737"/>
      </w:tblGrid>
      <w:tr>
        <w:trPr>
          <w:tblHeader w:val="true"/>
          <w:trHeight w:val="23" w:hRule="atLeast"/>
        </w:trPr>
        <w:tc>
          <w:tcPr>
            <w:tcW w:w="1051" w:type="dxa"/>
            <w:tcBorders>
              <w:top w:val="single" w:sz="12" w:space="0" w:color="000000"/>
              <w:left w:val="single" w:sz="12"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Codul și numele ANPIC</w:t>
            </w:r>
          </w:p>
        </w:tc>
        <w:tc>
          <w:tcPr>
            <w:tcW w:w="764"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b/>
                <w:bCs/>
                <w:sz w:val="16"/>
                <w:szCs w:val="16"/>
                <w:lang w:val="en-GB"/>
              </w:rPr>
              <w:t>Intersec-tată</w:t>
            </w:r>
          </w:p>
        </w:tc>
        <w:tc>
          <w:tcPr>
            <w:tcW w:w="913"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Obiective de conservare</w:t>
            </w:r>
          </w:p>
        </w:tc>
        <w:tc>
          <w:tcPr>
            <w:tcW w:w="1042"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Plan de management</w:t>
            </w:r>
          </w:p>
        </w:tc>
        <w:tc>
          <w:tcPr>
            <w:tcW w:w="914"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 xml:space="preserve">ANPIC inclus în zona de influență a </w:t>
            </w:r>
            <w:r>
              <w:rPr>
                <w:rFonts w:eastAsia="Times New Roman" w:cs="Times New Roman"/>
                <w:b/>
                <w:bCs/>
                <w:color w:val="auto"/>
                <w:kern w:val="0"/>
                <w:sz w:val="16"/>
                <w:szCs w:val="16"/>
                <w:lang w:val="ro-RO" w:eastAsia="zh-CN" w:bidi="ar-SA"/>
              </w:rPr>
              <w:t>PP</w:t>
            </w:r>
          </w:p>
          <w:p>
            <w:pPr>
              <w:pStyle w:val="Normal"/>
              <w:overflowPunct w:val="false"/>
              <w:ind w:left="-57" w:right="-57" w:hanging="0"/>
              <w:jc w:val="center"/>
              <w:textAlignment w:val="baseline"/>
              <w:rPr>
                <w:b/>
                <w:b/>
                <w:bCs/>
                <w:sz w:val="16"/>
                <w:szCs w:val="16"/>
                <w:lang w:val="en-GB"/>
              </w:rPr>
            </w:pPr>
            <w:r>
              <w:rPr>
                <w:b/>
                <w:bCs/>
                <w:sz w:val="16"/>
                <w:szCs w:val="16"/>
                <w:lang w:val="en-GB"/>
              </w:rPr>
              <w:t xml:space="preserve"> </w:t>
            </w:r>
          </w:p>
        </w:tc>
        <w:tc>
          <w:tcPr>
            <w:tcW w:w="1091"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 xml:space="preserve">ANPIC găzduiește specii de faună care se pot deplasa în zona </w:t>
            </w:r>
            <w:r>
              <w:rPr>
                <w:rFonts w:eastAsia="Times New Roman" w:cs="Times New Roman"/>
                <w:b/>
                <w:bCs/>
                <w:color w:val="auto"/>
                <w:kern w:val="0"/>
                <w:sz w:val="16"/>
                <w:szCs w:val="16"/>
                <w:lang w:val="ro-RO" w:eastAsia="zh-CN" w:bidi="ar-SA"/>
              </w:rPr>
              <w:t>PP</w:t>
            </w:r>
          </w:p>
        </w:tc>
        <w:tc>
          <w:tcPr>
            <w:tcW w:w="1130"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 xml:space="preserve">ANPIC conectată din punct de vedere ecologic cu zona </w:t>
            </w:r>
            <w:r>
              <w:rPr>
                <w:rFonts w:eastAsia="Times New Roman" w:cs="Times New Roman"/>
                <w:b/>
                <w:bCs/>
                <w:color w:val="auto"/>
                <w:kern w:val="0"/>
                <w:sz w:val="16"/>
                <w:szCs w:val="16"/>
                <w:lang w:val="ro-RO" w:eastAsia="zh-CN" w:bidi="ar-SA"/>
              </w:rPr>
              <w:t>PP</w:t>
            </w:r>
          </w:p>
        </w:tc>
        <w:tc>
          <w:tcPr>
            <w:tcW w:w="2737" w:type="dxa"/>
            <w:tcBorders>
              <w:top w:val="single" w:sz="12" w:space="0" w:color="000000"/>
              <w:left w:val="single" w:sz="4" w:space="0" w:color="000000"/>
              <w:bottom w:val="single" w:sz="12" w:space="0" w:color="000000"/>
              <w:right w:val="single" w:sz="12" w:space="0" w:color="000000"/>
            </w:tcBorders>
            <w:vAlign w:val="center"/>
          </w:tcPr>
          <w:p>
            <w:pPr>
              <w:pStyle w:val="Normal"/>
              <w:overflowPunct w:val="false"/>
              <w:ind w:left="-57" w:right="-57" w:hanging="0"/>
              <w:jc w:val="center"/>
              <w:textAlignment w:val="baseline"/>
              <w:rPr>
                <w:b/>
                <w:b/>
                <w:bCs/>
                <w:sz w:val="16"/>
                <w:szCs w:val="16"/>
                <w:lang w:val="en-GB"/>
              </w:rPr>
            </w:pPr>
            <w:r>
              <w:rPr>
                <w:b/>
                <w:bCs/>
                <w:sz w:val="16"/>
                <w:szCs w:val="16"/>
                <w:lang w:val="en-GB"/>
              </w:rPr>
              <w:t>Măsuri restrictive din PM/act normativ/act administrativ</w:t>
            </w:r>
          </w:p>
        </w:tc>
      </w:tr>
      <w:tr>
        <w:trPr>
          <w:trHeight w:val="754" w:hRule="atLeast"/>
        </w:trPr>
        <w:tc>
          <w:tcPr>
            <w:tcW w:w="1051" w:type="dxa"/>
            <w:tcBorders>
              <w:top w:val="single" w:sz="12" w:space="0" w:color="000000"/>
              <w:left w:val="single" w:sz="12"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ro-RO"/>
              </w:rPr>
              <w:t>ROSCI0042 Codru Moma</w:t>
            </w:r>
          </w:p>
        </w:tc>
        <w:tc>
          <w:tcPr>
            <w:tcW w:w="764"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DA</w:t>
            </w:r>
          </w:p>
        </w:tc>
        <w:tc>
          <w:tcPr>
            <w:tcW w:w="913"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DA</w:t>
            </w:r>
          </w:p>
        </w:tc>
        <w:tc>
          <w:tcPr>
            <w:tcW w:w="1042"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NU</w:t>
            </w:r>
          </w:p>
        </w:tc>
        <w:tc>
          <w:tcPr>
            <w:tcW w:w="914"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NU</w:t>
            </w:r>
          </w:p>
        </w:tc>
        <w:tc>
          <w:tcPr>
            <w:tcW w:w="1091"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DA</w:t>
            </w:r>
          </w:p>
        </w:tc>
        <w:tc>
          <w:tcPr>
            <w:tcW w:w="1130" w:type="dxa"/>
            <w:tcBorders>
              <w:top w:val="single" w:sz="12" w:space="0" w:color="000000"/>
              <w:left w:val="single" w:sz="4" w:space="0" w:color="000000"/>
              <w:bottom w:val="single" w:sz="12" w:space="0" w:color="000000"/>
            </w:tcBorders>
            <w:vAlign w:val="center"/>
          </w:tcPr>
          <w:p>
            <w:pPr>
              <w:pStyle w:val="Normal"/>
              <w:overflowPunct w:val="false"/>
              <w:ind w:left="-57" w:right="-57" w:hanging="0"/>
              <w:jc w:val="center"/>
              <w:textAlignment w:val="baseline"/>
              <w:rPr/>
            </w:pPr>
            <w:r>
              <w:rPr>
                <w:sz w:val="16"/>
                <w:szCs w:val="16"/>
                <w:lang w:val="en-GB"/>
              </w:rPr>
              <w:t>NU</w:t>
            </w:r>
          </w:p>
        </w:tc>
        <w:tc>
          <w:tcPr>
            <w:tcW w:w="2737" w:type="dxa"/>
            <w:tcBorders>
              <w:top w:val="single" w:sz="12" w:space="0" w:color="000000"/>
              <w:left w:val="single" w:sz="4" w:space="0" w:color="000000"/>
              <w:bottom w:val="single" w:sz="12" w:space="0" w:color="000000"/>
              <w:right w:val="single" w:sz="12" w:space="0" w:color="000000"/>
            </w:tcBorders>
            <w:vAlign w:val="center"/>
          </w:tcPr>
          <w:p>
            <w:pPr>
              <w:pStyle w:val="Normal"/>
              <w:overflowPunct w:val="false"/>
              <w:jc w:val="both"/>
              <w:textAlignment w:val="baseline"/>
              <w:rPr>
                <w:rFonts w:eastAsia="Calibri"/>
                <w:spacing w:val="-6"/>
                <w:sz w:val="16"/>
                <w:szCs w:val="16"/>
                <w:lang w:val="ro-RO" w:eastAsia="ro-RO"/>
              </w:rPr>
            </w:pPr>
            <w:r>
              <w:rPr>
                <w:rFonts w:eastAsia="Calibri"/>
                <w:spacing w:val="-6"/>
                <w:sz w:val="16"/>
                <w:szCs w:val="16"/>
                <w:lang w:val="ro-RO" w:eastAsia="ro-RO"/>
              </w:rPr>
              <w:t>NU</w:t>
            </w:r>
          </w:p>
        </w:tc>
      </w:tr>
    </w:tbl>
    <w:p>
      <w:pPr>
        <w:pStyle w:val="Normal"/>
        <w:overflowPunct w:val="false"/>
        <w:ind w:firstLine="709"/>
        <w:jc w:val="both"/>
        <w:textAlignment w:val="baseline"/>
        <w:rPr>
          <w:color w:val="FF0000"/>
          <w:lang w:val="en-GB"/>
        </w:rPr>
      </w:pPr>
      <w:r>
        <w:rPr>
          <w:color w:val="FF0000"/>
          <w:lang w:val="en-GB"/>
        </w:rPr>
      </w:r>
      <w:r>
        <w:br w:type="page"/>
      </w:r>
    </w:p>
    <w:p>
      <w:pPr>
        <w:pStyle w:val="Normal"/>
        <w:overflowPunct w:val="false"/>
        <w:ind w:firstLine="709"/>
        <w:jc w:val="both"/>
        <w:textAlignment w:val="baseline"/>
        <w:rPr>
          <w:color w:val="FF0000"/>
          <w:lang w:val="en-GB"/>
        </w:rPr>
      </w:pPr>
      <w:r>
        <w:rPr>
          <w:color w:val="FF0000"/>
          <w:lang w:val="en-GB"/>
        </w:rPr>
      </w:r>
    </w:p>
    <w:p>
      <w:pPr>
        <w:pStyle w:val="Heading1"/>
        <w:numPr>
          <w:ilvl w:val="0"/>
          <w:numId w:val="2"/>
        </w:numPr>
        <w:rPr/>
      </w:pPr>
      <w:bookmarkStart w:id="15" w:name="_Toc171938302"/>
      <w:r>
        <w:rPr/>
        <w:t>C. Prezența și efectivele/suprafețele acoperite de specii și habitate de interes comunitar în zona Amenajamentului</w:t>
      </w:r>
      <w:bookmarkEnd w:id="15"/>
      <w:r>
        <w:rPr/>
        <w:t xml:space="preserve"> </w:t>
      </w:r>
    </w:p>
    <w:p>
      <w:pPr>
        <w:pStyle w:val="Heading1"/>
        <w:numPr>
          <w:ilvl w:val="0"/>
          <w:numId w:val="2"/>
        </w:numPr>
        <w:rPr>
          <w:lang w:val="ro-RO"/>
        </w:rPr>
      </w:pPr>
      <w:bookmarkStart w:id="16" w:name="_Toc171938303"/>
      <w:r>
        <w:rPr>
          <w:lang w:val="ro-RO"/>
        </w:rPr>
        <w:t>U.p. IV hĂȘMAȘ ȘI U.P. v gROȘENI</w:t>
      </w:r>
      <w:bookmarkEnd w:id="16"/>
    </w:p>
    <w:p>
      <w:pPr>
        <w:pStyle w:val="Normal"/>
        <w:rPr>
          <w:color w:val="FF0000"/>
          <w:sz w:val="12"/>
          <w:szCs w:val="12"/>
          <w:lang w:val="ro-RO"/>
        </w:rPr>
      </w:pPr>
      <w:r>
        <w:rPr>
          <w:color w:val="FF0000"/>
          <w:sz w:val="12"/>
          <w:szCs w:val="12"/>
          <w:lang w:val="ro-RO"/>
        </w:rPr>
      </w:r>
    </w:p>
    <w:p>
      <w:pPr>
        <w:pStyle w:val="Normal"/>
        <w:ind w:firstLine="720"/>
        <w:jc w:val="both"/>
        <w:rPr>
          <w:iCs/>
          <w:lang w:val="ro-RO"/>
        </w:rPr>
      </w:pPr>
      <w:r>
        <w:rPr>
          <w:iCs/>
          <w:lang w:val="ro-RO"/>
        </w:rPr>
        <w:t xml:space="preserve">Prezența și efectivele/suprafețele acoperite de specii si habitate de interes comunitar din ANPIC </w:t>
      </w:r>
      <w:r>
        <w:rPr>
          <w:i/>
          <w:iCs/>
        </w:rPr>
        <w:t xml:space="preserve">ROSCI0042 Codru Moma </w:t>
      </w:r>
      <w:r>
        <w:rPr>
          <w:iCs/>
          <w:lang w:val="ro-RO"/>
        </w:rPr>
        <w:t xml:space="preserve"> nu sunt afectate si nu se suprapun pe Amenajamentul Silvic din </w:t>
      </w:r>
      <w:r>
        <w:rPr>
          <w:iCs/>
          <w:lang w:val="en-GB"/>
        </w:rPr>
        <w:t xml:space="preserve">U.P. </w:t>
      </w:r>
      <w:r>
        <w:rPr/>
        <w:t>IV Hășmaș și U.P. V Groșeni.</w:t>
      </w:r>
    </w:p>
    <w:p>
      <w:pPr>
        <w:pStyle w:val="Normal"/>
        <w:ind w:firstLine="720"/>
        <w:jc w:val="both"/>
        <w:rPr>
          <w:iCs/>
          <w:sz w:val="12"/>
          <w:szCs w:val="12"/>
          <w:lang w:val="ro-RO"/>
        </w:rPr>
      </w:pPr>
      <w:r>
        <w:rPr>
          <w:iCs/>
          <w:sz w:val="12"/>
          <w:szCs w:val="12"/>
          <w:lang w:val="ro-RO"/>
        </w:rPr>
      </w:r>
    </w:p>
    <w:p>
      <w:pPr>
        <w:pStyle w:val="Normal"/>
        <w:ind w:hanging="0"/>
        <w:jc w:val="center"/>
        <w:rPr>
          <w:lang w:val="ro-RO"/>
        </w:rPr>
      </w:pPr>
      <w:r>
        <w:rPr>
          <w:lang w:val="ro-RO"/>
        </w:rPr>
        <w:t>Prezența și efectivele/suprafețele acoperite de specii și habitate de interes comunitar în zona PP</w:t>
      </w:r>
    </w:p>
    <w:p>
      <w:pPr>
        <w:pStyle w:val="Normal"/>
        <w:ind w:hanging="0"/>
        <w:jc w:val="center"/>
        <w:rPr>
          <w:sz w:val="12"/>
          <w:szCs w:val="12"/>
          <w:lang w:val="ro-RO"/>
        </w:rPr>
      </w:pPr>
      <w:r>
        <w:rPr>
          <w:sz w:val="12"/>
          <w:szCs w:val="12"/>
          <w:lang w:val="ro-RO"/>
        </w:rPr>
      </w:r>
    </w:p>
    <w:p>
      <w:pPr>
        <w:pStyle w:val="Normal"/>
        <w:ind w:hanging="0"/>
        <w:jc w:val="right"/>
        <w:rPr>
          <w:lang w:val="ro-RO"/>
        </w:rPr>
      </w:pPr>
      <w:r>
        <w:rPr>
          <w:lang w:val="ro-RO"/>
        </w:rPr>
        <w:t>Tabelul nr. 3</w:t>
      </w:r>
    </w:p>
    <w:tbl>
      <w:tblPr>
        <w:tblW w:w="9649" w:type="dxa"/>
        <w:jc w:val="left"/>
        <w:tblInd w:w="0" w:type="dxa"/>
        <w:tblCellMar>
          <w:top w:w="55" w:type="dxa"/>
          <w:left w:w="55" w:type="dxa"/>
          <w:bottom w:w="55" w:type="dxa"/>
          <w:right w:w="55" w:type="dxa"/>
        </w:tblCellMar>
      </w:tblPr>
      <w:tblGrid>
        <w:gridCol w:w="1264"/>
        <w:gridCol w:w="1488"/>
        <w:gridCol w:w="1210"/>
        <w:gridCol w:w="1343"/>
        <w:gridCol w:w="1721"/>
        <w:gridCol w:w="1247"/>
        <w:gridCol w:w="1375"/>
      </w:tblGrid>
      <w:tr>
        <w:trPr/>
        <w:tc>
          <w:tcPr>
            <w:tcW w:w="1264"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Codul și numele ANPIC</w:t>
            </w:r>
          </w:p>
        </w:tc>
        <w:tc>
          <w:tcPr>
            <w:tcW w:w="1488"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Denumirea științifică specie / habitat</w:t>
            </w:r>
          </w:p>
        </w:tc>
        <w:tc>
          <w:tcPr>
            <w:tcW w:w="1210"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Suprafața / populația</w:t>
            </w:r>
          </w:p>
        </w:tc>
        <w:tc>
          <w:tcPr>
            <w:tcW w:w="1343"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Locația față de PP (intersectat Da / Nu – distanța față de PP)</w:t>
            </w:r>
          </w:p>
        </w:tc>
        <w:tc>
          <w:tcPr>
            <w:tcW w:w="1721"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Direcția geografică și diferența altitudinală</w:t>
            </w:r>
          </w:p>
        </w:tc>
        <w:tc>
          <w:tcPr>
            <w:tcW w:w="1247" w:type="dxa"/>
            <w:tcBorders>
              <w:top w:val="single" w:sz="8" w:space="0" w:color="000000"/>
              <w:left w:val="single" w:sz="8" w:space="0" w:color="000000"/>
              <w:bottom w:val="single" w:sz="8" w:space="0" w:color="000000"/>
            </w:tcBorders>
            <w:vAlign w:val="center"/>
          </w:tcPr>
          <w:p>
            <w:pPr>
              <w:pStyle w:val="TableContents"/>
              <w:jc w:val="center"/>
              <w:rPr/>
            </w:pPr>
            <w:r>
              <w:rPr>
                <w:b/>
                <w:bCs/>
                <w:lang w:val="ro-RO"/>
              </w:rPr>
              <w:t>Starea de conservare</w:t>
            </w:r>
          </w:p>
        </w:tc>
        <w:tc>
          <w:tcPr>
            <w:tcW w:w="1375" w:type="dxa"/>
            <w:tcBorders>
              <w:top w:val="single" w:sz="8" w:space="0" w:color="000000"/>
              <w:left w:val="single" w:sz="8" w:space="0" w:color="000000"/>
              <w:bottom w:val="single" w:sz="8" w:space="0" w:color="000000"/>
              <w:right w:val="single" w:sz="8" w:space="0" w:color="000000"/>
            </w:tcBorders>
            <w:vAlign w:val="center"/>
          </w:tcPr>
          <w:p>
            <w:pPr>
              <w:pStyle w:val="TableContents"/>
              <w:jc w:val="center"/>
              <w:rPr/>
            </w:pPr>
            <w:r>
              <w:rPr>
                <w:b/>
                <w:bCs/>
                <w:lang w:val="ro-RO"/>
              </w:rPr>
              <w:t>Obiective de conservare (îmbunătățirea / menținerea stării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6110 - Comunitati rupuicole calcifile sau pajisti bazifite din Alysso-Sedion albi</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246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medie sau redusa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8210 - Versanti stancosi cu vegetatie chasmofitica pe roci calcaroase</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2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medie sau redusa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8220 - Versanti stancosi cu vegetatie chasmofitica pe roca silicioasa</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2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medie sau redusa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9110 - Paduri de fag de tip Luzulo – Fagetum</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1231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Da</w:t>
            </w:r>
          </w:p>
        </w:tc>
        <w:tc>
          <w:tcPr>
            <w:tcW w:w="1721" w:type="dxa"/>
            <w:tcBorders>
              <w:left w:val="single" w:sz="8" w:space="0" w:color="000000"/>
              <w:bottom w:val="single" w:sz="8" w:space="0" w:color="000000"/>
            </w:tcBorders>
            <w:vAlign w:val="center"/>
          </w:tcPr>
          <w:p>
            <w:pPr>
              <w:pStyle w:val="TableContents"/>
              <w:jc w:val="center"/>
              <w:rPr>
                <w:sz w:val="20"/>
                <w:szCs w:val="20"/>
              </w:rPr>
            </w:pPr>
            <w:r>
              <w:rPr>
                <w:rFonts w:eastAsia="Times New Roman" w:cs="Times New Roman"/>
                <w:color w:val="auto"/>
                <w:kern w:val="0"/>
                <w:sz w:val="20"/>
                <w:szCs w:val="20"/>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9130 - Paduri de fag de tip Asperula – Fagetum</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9852</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Da</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9180 - Paduri de Tilio – Acerion pe versanti abrupti, grohotisuri si ravene</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123ha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Mentinerea sau imbunatatirea starii de conservare</w:t>
            </w:r>
          </w:p>
          <w:p>
            <w:pPr>
              <w:pStyle w:val="TableContents"/>
              <w:jc w:val="center"/>
              <w:rPr>
                <w:lang w:val="ro-RO"/>
              </w:rPr>
            </w:pPr>
            <w:r>
              <w:rPr>
                <w:lang w:val="ro-RO"/>
              </w:rPr>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91E0 - Paduri aluviale cu Alnus Glutinosa si Fraxinus excelsior</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123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în special pe lângă vaile cu apa permamenta,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9IY0 - Paduri dacice de stejar si carpen</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738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9IV0 - Paduri dacice de fag</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3694 ha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Suprafetele se regasesc în interiorul Sitului Natura 2000, PP nu se intersectează cu astfel de suprafete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1352 - Lup – Canis lupus</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6 indivizi</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sz w:val="21"/>
                <w:szCs w:val="21"/>
              </w:rPr>
            </w:pPr>
            <w:r>
              <w:rPr>
                <w:rFonts w:eastAsia="Times New Roman" w:cs="Times New Roman"/>
                <w:color w:val="auto"/>
                <w:kern w:val="0"/>
                <w:sz w:val="21"/>
                <w:szCs w:val="21"/>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1355 - Vidra – Lutra lutra</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Specie dependentă de habitate de arborete din apropierea vailor cu apa permamenta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starii / Gradului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1361 - Ras – Lynx lynx</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 xml:space="preserve"> </w:t>
            </w:r>
            <w:r>
              <w:rPr>
                <w:rFonts w:eastAsia="Times New Roman" w:cs="Times New Roman"/>
                <w:color w:val="auto"/>
                <w:kern w:val="0"/>
                <w:sz w:val="24"/>
                <w:szCs w:val="24"/>
                <w:lang w:val="ro-RO" w:eastAsia="zh-CN" w:bidi="ar-SA"/>
              </w:rPr>
              <w:t>4 exemplare</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1354 - Urs – Ursus arctos</w:t>
            </w:r>
          </w:p>
        </w:tc>
        <w:tc>
          <w:tcPr>
            <w:tcW w:w="1210"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4 exemplare</w:t>
            </w:r>
          </w:p>
        </w:tc>
        <w:tc>
          <w:tcPr>
            <w:tcW w:w="1343" w:type="dxa"/>
            <w:tcBorders>
              <w:left w:val="single" w:sz="8" w:space="0" w:color="000000"/>
              <w:bottom w:val="single" w:sz="8" w:space="0" w:color="000000"/>
            </w:tcBorders>
            <w:vAlign w:val="center"/>
          </w:tcPr>
          <w:p>
            <w:pPr>
              <w:pStyle w:val="TableContents"/>
              <w:jc w:val="center"/>
              <w:rPr>
                <w:lang w:val="ro-RO"/>
              </w:rPr>
            </w:pPr>
            <w:r>
              <w:rPr>
                <w:lang w:val="ro-RO"/>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Medie sau redusa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4008 - Triton comun transilvanean -Triturus vulgaris ampelensis</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cunoscuta</w:t>
            </w:r>
          </w:p>
        </w:tc>
        <w:tc>
          <w:tcPr>
            <w:tcW w:w="1343" w:type="dxa"/>
            <w:tcBorders>
              <w:left w:val="single" w:sz="8" w:space="0" w:color="000000"/>
              <w:bottom w:val="single" w:sz="8" w:space="0" w:color="000000"/>
            </w:tcBorders>
            <w:vAlign w:val="center"/>
          </w:tcPr>
          <w:p>
            <w:pPr>
              <w:pStyle w:val="TableContents"/>
              <w:jc w:val="center"/>
              <w:rPr/>
            </w:pPr>
            <w:r>
              <w:rPr>
                <w:lang w:val="ro-RO"/>
              </w:rPr>
              <w:t>Nu</w:t>
            </w:r>
          </w:p>
        </w:tc>
        <w:tc>
          <w:tcPr>
            <w:tcW w:w="1721"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Specie dependentă de habitate cu apa statatoare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1166 - Triton cu creasta – Triturus cristatus</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cunoscuta</w:t>
            </w:r>
          </w:p>
        </w:tc>
        <w:tc>
          <w:tcPr>
            <w:tcW w:w="1343" w:type="dxa"/>
            <w:tcBorders>
              <w:left w:val="single" w:sz="8" w:space="0" w:color="000000"/>
              <w:bottom w:val="single" w:sz="8" w:space="0" w:color="000000"/>
            </w:tcBorders>
            <w:vAlign w:val="center"/>
          </w:tcPr>
          <w:p>
            <w:pPr>
              <w:pStyle w:val="TableContents"/>
              <w:jc w:val="center"/>
              <w:rPr/>
            </w:pPr>
            <w:r>
              <w:rPr>
                <w:lang w:val="ro-RO"/>
              </w:rPr>
              <w:t>Nu</w:t>
            </w:r>
          </w:p>
        </w:tc>
        <w:tc>
          <w:tcPr>
            <w:tcW w:w="1721"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Specie dependentă de habitate cu apa statatoare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Buna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1014 - Vertigo angustior</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lang w:val="ro-RO"/>
              </w:rPr>
              <w:t>Nu</w:t>
            </w:r>
          </w:p>
        </w:tc>
        <w:tc>
          <w:tcPr>
            <w:tcW w:w="1721" w:type="dxa"/>
            <w:tcBorders>
              <w:left w:val="single" w:sz="8" w:space="0" w:color="000000"/>
              <w:bottom w:val="single" w:sz="8" w:space="0" w:color="000000"/>
            </w:tcBorders>
            <w:vAlign w:val="center"/>
          </w:tcPr>
          <w:p>
            <w:pPr>
              <w:pStyle w:val="TableContents"/>
              <w:jc w:val="center"/>
              <w:rPr>
                <w:sz w:val="22"/>
                <w:szCs w:val="22"/>
              </w:rPr>
            </w:pPr>
            <w:r>
              <w:rPr>
                <w:rFonts w:eastAsia="Times New Roman" w:cs="Times New Roman"/>
                <w:color w:val="auto"/>
                <w:kern w:val="0"/>
                <w:sz w:val="22"/>
                <w:szCs w:val="22"/>
                <w:lang w:val="ro-RO" w:eastAsia="zh-CN" w:bidi="ar-SA"/>
              </w:rPr>
              <w:t>Specie dependentă de habitate cu apa statatoare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sz w:val="24"/>
              </w:rPr>
              <w:t>6963 - Zvârlugă – Cobitis taenia</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lang w:val="ro-RO"/>
              </w:rPr>
              <w:t>Nu</w:t>
            </w:r>
          </w:p>
        </w:tc>
        <w:tc>
          <w:tcPr>
            <w:tcW w:w="1721" w:type="dxa"/>
            <w:tcBorders>
              <w:left w:val="single" w:sz="8" w:space="0" w:color="000000"/>
              <w:bottom w:val="single" w:sz="8" w:space="0" w:color="000000"/>
            </w:tcBorders>
            <w:vAlign w:val="center"/>
          </w:tcPr>
          <w:p>
            <w:pPr>
              <w:pStyle w:val="TableContents"/>
              <w:jc w:val="center"/>
              <w:rPr>
                <w:lang w:val="ro-RO"/>
              </w:rPr>
            </w:pPr>
            <w:r>
              <w:rPr>
                <w:rFonts w:eastAsia="Times New Roman" w:cs="Times New Roman"/>
                <w:color w:val="auto"/>
                <w:kern w:val="0"/>
                <w:sz w:val="24"/>
                <w:szCs w:val="24"/>
                <w:lang w:val="ro-RO" w:eastAsia="zh-CN" w:bidi="ar-SA"/>
              </w:rPr>
              <w:t>Specie dependentă de habitate cu apa statatoare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Medie sau redusa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1308 - Barbastella barbastellus – Liliac carn</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1310 - Miniopterus schreibersii – Liliac cu aripi lungi</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1307 - Myotis blythii – Liliac comun mic</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1323 - Myotis bechsteinii – Liliac cu urechi mari</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1324 - Myotis myotis – Liliac comun</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r>
          </w:p>
          <w:p>
            <w:pPr>
              <w:pStyle w:val="TableContents"/>
              <w:jc w:val="center"/>
              <w:rPr/>
            </w:pPr>
            <w:r>
              <w:rPr/>
              <w:t>1304 - Rhinolophus ferrumequinum – Liliac mare cu potcoava</w:t>
            </w:r>
          </w:p>
        </w:tc>
        <w:tc>
          <w:tcPr>
            <w:tcW w:w="1210" w:type="dxa"/>
            <w:tcBorders>
              <w:left w:val="single" w:sz="8" w:space="0" w:color="000000"/>
              <w:bottom w:val="single" w:sz="8" w:space="0" w:color="000000"/>
            </w:tcBorders>
            <w:vAlign w:val="center"/>
          </w:tcPr>
          <w:p>
            <w:pPr>
              <w:pStyle w:val="TableContents"/>
              <w:jc w:val="center"/>
              <w:rPr/>
            </w:pPr>
            <w:r>
              <w:rPr/>
            </w:r>
          </w:p>
          <w:p>
            <w:pPr>
              <w:pStyle w:val="TableContents"/>
              <w:jc w:val="center"/>
              <w:rPr/>
            </w:pPr>
            <w:r>
              <w:rPr/>
              <w:t>Peste 100 de exemplare</w:t>
            </w:r>
          </w:p>
        </w:tc>
        <w:tc>
          <w:tcPr>
            <w:tcW w:w="1343" w:type="dxa"/>
            <w:tcBorders>
              <w:left w:val="single" w:sz="8" w:space="0" w:color="000000"/>
              <w:bottom w:val="single" w:sz="8" w:space="0" w:color="000000"/>
            </w:tcBorders>
            <w:vAlign w:val="center"/>
          </w:tcPr>
          <w:p>
            <w:pPr>
              <w:pStyle w:val="TableContents"/>
              <w:jc w:val="center"/>
              <w:rPr/>
            </w:pPr>
            <w:r>
              <w:rPr/>
            </w:r>
          </w:p>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r>
          </w:p>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r>
          </w:p>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r>
          </w:p>
          <w:p>
            <w:pPr>
              <w:pStyle w:val="TableContents"/>
              <w:jc w:val="center"/>
              <w:rPr>
                <w:lang w:val="ro-RO"/>
              </w:rPr>
            </w:pPr>
            <w:r>
              <w:rPr>
                <w:lang w:val="ro-RO"/>
              </w:rPr>
              <w:t>Mentinerea sau imbunatatirea starii de conservare</w:t>
            </w:r>
          </w:p>
        </w:tc>
      </w:tr>
      <w:tr>
        <w:trPr/>
        <w:tc>
          <w:tcPr>
            <w:tcW w:w="1264" w:type="dxa"/>
            <w:tcBorders>
              <w:left w:val="single" w:sz="8" w:space="0" w:color="000000"/>
              <w:bottom w:val="single" w:sz="8" w:space="0" w:color="000000"/>
            </w:tcBorders>
            <w:vAlign w:val="center"/>
          </w:tcPr>
          <w:p>
            <w:pPr>
              <w:pStyle w:val="TableContents"/>
              <w:jc w:val="center"/>
              <w:rPr>
                <w:lang w:val="ro-RO"/>
              </w:rPr>
            </w:pPr>
            <w:r>
              <w:rPr>
                <w:lang w:val="ro-RO"/>
              </w:rPr>
              <w:t>ROSCI0042 Codru Moma</w:t>
            </w:r>
          </w:p>
        </w:tc>
        <w:tc>
          <w:tcPr>
            <w:tcW w:w="1488" w:type="dxa"/>
            <w:tcBorders>
              <w:left w:val="single" w:sz="8" w:space="0" w:color="000000"/>
              <w:bottom w:val="single" w:sz="8" w:space="0" w:color="000000"/>
            </w:tcBorders>
            <w:vAlign w:val="center"/>
          </w:tcPr>
          <w:p>
            <w:pPr>
              <w:pStyle w:val="TableContents"/>
              <w:jc w:val="center"/>
              <w:rPr/>
            </w:pPr>
            <w:r>
              <w:rPr/>
              <w:t>1303 - Rhinolophus hipposideros – Liliac mic cu potcoava</w:t>
            </w:r>
          </w:p>
        </w:tc>
        <w:tc>
          <w:tcPr>
            <w:tcW w:w="1210" w:type="dxa"/>
            <w:tcBorders>
              <w:left w:val="single" w:sz="8" w:space="0" w:color="000000"/>
              <w:bottom w:val="single" w:sz="8" w:space="0" w:color="000000"/>
            </w:tcBorders>
            <w:vAlign w:val="center"/>
          </w:tcPr>
          <w:p>
            <w:pPr>
              <w:pStyle w:val="TableContents"/>
              <w:jc w:val="center"/>
              <w:rPr/>
            </w:pPr>
            <w:r>
              <w:rPr>
                <w:rFonts w:eastAsia="Times New Roman" w:cs="Times New Roman"/>
                <w:color w:val="auto"/>
                <w:kern w:val="0"/>
                <w:sz w:val="24"/>
                <w:szCs w:val="24"/>
                <w:lang w:val="ro-RO" w:eastAsia="zh-CN" w:bidi="ar-SA"/>
              </w:rPr>
              <w:t>Nu este cunoascuta</w:t>
            </w:r>
          </w:p>
        </w:tc>
        <w:tc>
          <w:tcPr>
            <w:tcW w:w="1343" w:type="dxa"/>
            <w:tcBorders>
              <w:left w:val="single" w:sz="8" w:space="0" w:color="000000"/>
              <w:bottom w:val="single" w:sz="8" w:space="0" w:color="000000"/>
            </w:tcBorders>
            <w:vAlign w:val="center"/>
          </w:tcPr>
          <w:p>
            <w:pPr>
              <w:pStyle w:val="TableContents"/>
              <w:jc w:val="center"/>
              <w:rPr/>
            </w:pPr>
            <w:r>
              <w:rPr/>
              <w:t>Nu</w:t>
            </w:r>
          </w:p>
        </w:tc>
        <w:tc>
          <w:tcPr>
            <w:tcW w:w="1721" w:type="dxa"/>
            <w:tcBorders>
              <w:left w:val="single" w:sz="8" w:space="0" w:color="000000"/>
              <w:bottom w:val="single" w:sz="8" w:space="0" w:color="000000"/>
            </w:tcBorders>
            <w:vAlign w:val="center"/>
          </w:tcPr>
          <w:p>
            <w:pPr>
              <w:pStyle w:val="TableContents"/>
              <w:jc w:val="center"/>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Specie dependentă de habitate de arborete mature care se regasesc în zona centrala a ariei naturale protejate</w:t>
            </w:r>
          </w:p>
        </w:tc>
        <w:tc>
          <w:tcPr>
            <w:tcW w:w="1247" w:type="dxa"/>
            <w:tcBorders>
              <w:left w:val="single" w:sz="8" w:space="0" w:color="000000"/>
              <w:bottom w:val="single" w:sz="8" w:space="0" w:color="000000"/>
            </w:tcBorders>
            <w:vAlign w:val="center"/>
          </w:tcPr>
          <w:p>
            <w:pPr>
              <w:pStyle w:val="TableContents"/>
              <w:jc w:val="center"/>
              <w:rPr/>
            </w:pPr>
            <w:r>
              <w:rPr/>
              <w:t>Necunoscuta</w:t>
            </w:r>
          </w:p>
        </w:tc>
        <w:tc>
          <w:tcPr>
            <w:tcW w:w="1375" w:type="dxa"/>
            <w:tcBorders>
              <w:left w:val="single" w:sz="8" w:space="0" w:color="000000"/>
              <w:bottom w:val="single" w:sz="8" w:space="0" w:color="000000"/>
              <w:right w:val="single" w:sz="8" w:space="0" w:color="000000"/>
            </w:tcBorders>
            <w:vAlign w:val="center"/>
          </w:tcPr>
          <w:p>
            <w:pPr>
              <w:pStyle w:val="TableContents"/>
              <w:jc w:val="center"/>
              <w:rPr>
                <w:lang w:val="ro-RO"/>
              </w:rPr>
            </w:pPr>
            <w:r>
              <w:rPr>
                <w:lang w:val="ro-RO"/>
              </w:rPr>
              <w:t>Mentinerea sau imbunatatirea starii de conservare</w:t>
            </w:r>
          </w:p>
        </w:tc>
      </w:tr>
    </w:tbl>
    <w:p>
      <w:pPr>
        <w:pStyle w:val="Normal"/>
        <w:ind w:hanging="0"/>
        <w:jc w:val="center"/>
        <w:rPr>
          <w:lang w:val="ro-RO"/>
        </w:rPr>
      </w:pPr>
      <w:r>
        <w:rPr>
          <w:lang w:val="ro-RO"/>
        </w:rPr>
      </w:r>
    </w:p>
    <w:p>
      <w:pPr>
        <w:pStyle w:val="Normal"/>
        <w:jc w:val="right"/>
        <w:rPr>
          <w:iCs/>
          <w:lang w:val="ro-RO"/>
        </w:rPr>
      </w:pPr>
      <w:r>
        <w:rPr>
          <w:iCs/>
          <w:lang w:val="ro-RO"/>
        </w:rPr>
        <w:t xml:space="preserve">                                                              </w:t>
      </w:r>
    </w:p>
    <w:p>
      <w:pPr>
        <w:pStyle w:val="Normal"/>
        <w:jc w:val="right"/>
        <w:rPr/>
      </w:pPr>
      <w:r>
        <w:rPr/>
      </w:r>
    </w:p>
    <w:p>
      <w:pPr>
        <w:pStyle w:val="Heading1"/>
        <w:numPr>
          <w:ilvl w:val="0"/>
          <w:numId w:val="2"/>
        </w:numPr>
        <w:rPr/>
      </w:pPr>
      <w:bookmarkStart w:id="17" w:name="_Toc171938304"/>
      <w:r>
        <w:rPr/>
        <w:t>D. Prezentarea legăturii directe a Amenajamentului</w:t>
      </w:r>
      <w:bookmarkEnd w:id="17"/>
    </w:p>
    <w:p>
      <w:pPr>
        <w:pStyle w:val="Heading1"/>
        <w:numPr>
          <w:ilvl w:val="0"/>
          <w:numId w:val="2"/>
        </w:numPr>
        <w:rPr/>
      </w:pPr>
      <w:r>
        <w:rPr/>
        <w:t xml:space="preserve"> </w:t>
      </w:r>
      <w:bookmarkStart w:id="18" w:name="_Toc171938305"/>
      <w:r>
        <w:rPr/>
        <w:t>sau necesitatea acestora pentru managementul conservării ANPIC</w:t>
      </w:r>
      <w:bookmarkEnd w:id="18"/>
      <w:r>
        <w:rPr/>
        <w:t xml:space="preserve"> </w:t>
      </w:r>
    </w:p>
    <w:p>
      <w:pPr>
        <w:pStyle w:val="Normal"/>
        <w:rPr>
          <w:color w:val="FF0000"/>
          <w:lang w:val="ro-RO"/>
        </w:rPr>
      </w:pPr>
      <w:r>
        <w:rPr>
          <w:color w:val="FF0000"/>
          <w:lang w:val="ro-RO"/>
        </w:rPr>
      </w:r>
    </w:p>
    <w:p>
      <w:pPr>
        <w:pStyle w:val="Normal"/>
        <w:jc w:val="both"/>
        <w:rPr>
          <w:color w:val="FF0000"/>
          <w:lang w:val="ro-RO"/>
        </w:rPr>
      </w:pPr>
      <w:r>
        <w:rPr>
          <w:lang w:val="ro-RO"/>
        </w:rPr>
        <w:tab/>
        <w:t xml:space="preserve">Planul </w:t>
      </w:r>
      <w:r>
        <w:rPr>
          <w:rFonts w:eastAsia="Times New Roman" w:cs="Times New Roman"/>
          <w:kern w:val="0"/>
          <w:sz w:val="24"/>
          <w:szCs w:val="24"/>
          <w:lang w:val="ro-RO"/>
          <w14:ligatures w14:val="none"/>
        </w:rPr>
        <w:t>Amenajamentul silvic nu are legătură directă cu managementul ariilor naturale protejate aflate în zona de influență dar este necesar pentru managementul ariilor naturale protejate, în sensul în care unele lucrări, precum: degajările, curățirile, răriturile, împăduririle și lucrările tratamentelor de produse principale, pot contribui la menținerea sau îmbunătățirea stării de conservare a habitatelor forestiere.</w:t>
      </w:r>
    </w:p>
    <w:p>
      <w:pPr>
        <w:pStyle w:val="Normal"/>
        <w:ind w:firstLine="567"/>
        <w:jc w:val="both"/>
        <w:rPr>
          <w:lang w:val="ro-RO"/>
        </w:rPr>
      </w:pPr>
      <w:r>
        <w:rPr>
          <w:lang w:val="ro-RO"/>
        </w:rPr>
      </w:r>
    </w:p>
    <w:p>
      <w:pPr>
        <w:pStyle w:val="Heading1"/>
        <w:numPr>
          <w:ilvl w:val="0"/>
          <w:numId w:val="2"/>
        </w:numPr>
        <w:rPr/>
      </w:pPr>
      <w:bookmarkStart w:id="19" w:name="_Toc171938306"/>
      <w:r>
        <w:rPr/>
        <w:t xml:space="preserve">E. Estimarea impactului potențial al AmenajamentELOR asupra speciilor şi habitatelor pentru care ANPIC </w:t>
      </w:r>
      <w:r>
        <w:rPr>
          <w:lang w:val="ro-RO"/>
        </w:rPr>
        <w:t>ROSCI0042 – CODRU MOMA</w:t>
      </w:r>
      <w:r>
        <w:rPr/>
        <w:t xml:space="preserve"> au fost desemnate</w:t>
      </w:r>
      <w:bookmarkEnd w:id="19"/>
    </w:p>
    <w:p>
      <w:pPr>
        <w:pStyle w:val="Normal"/>
        <w:rPr>
          <w:rFonts w:eastAsia="Calibri"/>
          <w:color w:val="FF0000"/>
          <w:lang w:val="ro-RO"/>
        </w:rPr>
      </w:pPr>
      <w:r>
        <w:rPr>
          <w:rFonts w:eastAsia="Calibri"/>
          <w:color w:val="FF0000"/>
          <w:lang w:val="ro-RO"/>
        </w:rPr>
      </w:r>
    </w:p>
    <w:p>
      <w:pPr>
        <w:pStyle w:val="Heading2"/>
        <w:numPr>
          <w:ilvl w:val="1"/>
          <w:numId w:val="2"/>
        </w:numPr>
        <w:ind w:left="260" w:hanging="0"/>
        <w:rPr/>
      </w:pPr>
      <w:bookmarkStart w:id="20" w:name="_Toc171938307"/>
      <w:r>
        <w:rPr/>
        <w:t>E.1. Identificarea şi estimarea impactului</w:t>
      </w:r>
      <w:bookmarkEnd w:id="20"/>
    </w:p>
    <w:p>
      <w:pPr>
        <w:pStyle w:val="Normal"/>
        <w:rPr>
          <w:color w:val="FF0000"/>
          <w:lang w:val="ro-RO"/>
        </w:rPr>
      </w:pPr>
      <w:r>
        <w:rPr>
          <w:color w:val="FF0000"/>
          <w:lang w:val="ro-RO"/>
        </w:rPr>
      </w:r>
    </w:p>
    <w:p>
      <w:pPr>
        <w:pStyle w:val="Normal"/>
        <w:ind w:firstLine="567"/>
        <w:jc w:val="both"/>
        <w:rPr/>
      </w:pPr>
      <w:r>
        <w:rPr>
          <w:bCs/>
          <w:iCs/>
          <w:sz w:val="23"/>
          <w:szCs w:val="23"/>
          <w:lang w:val="ro-RO"/>
        </w:rPr>
        <w:t xml:space="preserve">Pentru estimarea și motivarea impactului potențial al Amenajamentelor </w:t>
      </w:r>
      <w:r>
        <w:rPr/>
        <w:t xml:space="preserve">U.P. </w:t>
      </w:r>
      <w:r>
        <w:rPr>
          <w:lang w:eastAsia="en-US"/>
        </w:rPr>
        <w:t>IV Hășmaș</w:t>
      </w:r>
      <w:r>
        <w:rPr>
          <w:b/>
          <w:lang w:eastAsia="en-US"/>
        </w:rPr>
        <w:t xml:space="preserve"> </w:t>
      </w:r>
      <w:r>
        <w:rPr>
          <w:bCs/>
        </w:rPr>
        <w:t>și U.P. V Groșeni</w:t>
      </w:r>
      <w:r>
        <w:rPr>
          <w:bCs/>
          <w:iCs/>
          <w:sz w:val="23"/>
          <w:szCs w:val="23"/>
          <w:lang w:val="ro-RO"/>
        </w:rPr>
        <w:t xml:space="preserve"> asupra speciilor şi habitatelor din ANPIC</w:t>
      </w:r>
      <w:r>
        <w:rPr>
          <w:bCs/>
          <w:sz w:val="23"/>
          <w:szCs w:val="23"/>
          <w:lang w:val="ro-RO"/>
        </w:rPr>
        <w:t xml:space="preserve"> </w:t>
      </w:r>
      <w:r>
        <w:rPr>
          <w:bCs/>
          <w:sz w:val="23"/>
          <w:szCs w:val="23"/>
        </w:rPr>
        <w:t>potențial afectate</w:t>
      </w:r>
      <w:r>
        <w:rPr>
          <w:bCs/>
          <w:sz w:val="23"/>
          <w:szCs w:val="23"/>
          <w:lang w:val="ro-RO"/>
        </w:rPr>
        <w:t xml:space="preserve">, s-au avut în vedere </w:t>
      </w:r>
      <w:r>
        <w:rPr>
          <w:bCs/>
          <w:iCs/>
          <w:sz w:val="23"/>
          <w:szCs w:val="23"/>
          <w:lang w:val="ro-RO"/>
        </w:rPr>
        <w:t>următoarele aspecte:</w:t>
      </w:r>
    </w:p>
    <w:p>
      <w:pPr>
        <w:pStyle w:val="Listparagraf"/>
        <w:numPr>
          <w:ilvl w:val="0"/>
          <w:numId w:val="3"/>
        </w:numPr>
        <w:ind w:left="720" w:firstLine="567"/>
        <w:jc w:val="both"/>
        <w:rPr>
          <w:sz w:val="23"/>
          <w:szCs w:val="23"/>
        </w:rPr>
      </w:pPr>
      <w:r>
        <w:rPr>
          <w:sz w:val="23"/>
          <w:szCs w:val="23"/>
        </w:rPr>
        <w:t>toate intervenţiile propuse de amenajamente şi activităţile ce decurg din implementarea acestora;</w:t>
      </w:r>
    </w:p>
    <w:p>
      <w:pPr>
        <w:pStyle w:val="Listparagraf"/>
        <w:numPr>
          <w:ilvl w:val="0"/>
          <w:numId w:val="3"/>
        </w:numPr>
        <w:ind w:left="720" w:firstLine="567"/>
        <w:jc w:val="both"/>
        <w:rPr/>
      </w:pPr>
      <w:r>
        <w:rPr>
          <w:sz w:val="23"/>
          <w:szCs w:val="23"/>
        </w:rPr>
        <w:t xml:space="preserve">toate efectele generate de intervenţiile </w:t>
      </w:r>
      <w:r>
        <w:rPr>
          <w:sz w:val="23"/>
          <w:szCs w:val="23"/>
          <w:lang w:val="ro-RO"/>
        </w:rPr>
        <w:t>a</w:t>
      </w:r>
      <w:r>
        <w:rPr>
          <w:sz w:val="23"/>
          <w:szCs w:val="23"/>
        </w:rPr>
        <w:t>menajamentului;</w:t>
      </w:r>
    </w:p>
    <w:p>
      <w:pPr>
        <w:pStyle w:val="Listparagraf"/>
        <w:numPr>
          <w:ilvl w:val="0"/>
          <w:numId w:val="3"/>
        </w:numPr>
        <w:ind w:left="720" w:firstLine="567"/>
        <w:jc w:val="both"/>
        <w:rPr/>
      </w:pPr>
      <w:r>
        <w:rPr>
          <w:sz w:val="23"/>
          <w:szCs w:val="23"/>
        </w:rPr>
        <w:t xml:space="preserve">presiunile şi ameninţările identificate pentru </w:t>
      </w:r>
      <w:r>
        <w:rPr>
          <w:sz w:val="23"/>
          <w:szCs w:val="23"/>
          <w:lang w:val="ro-RO"/>
        </w:rPr>
        <w:t>ariile de interes comunitar</w:t>
      </w:r>
      <w:r>
        <w:rPr>
          <w:sz w:val="23"/>
          <w:szCs w:val="23"/>
        </w:rPr>
        <w:t>, potenţial afectate, precum şi alte amenajamente ce pot genera impact asupra ANPIC potenţial afectată;</w:t>
      </w:r>
    </w:p>
    <w:p>
      <w:pPr>
        <w:pStyle w:val="Listparagraf"/>
        <w:numPr>
          <w:ilvl w:val="0"/>
          <w:numId w:val="3"/>
        </w:numPr>
        <w:ind w:left="720" w:firstLine="567"/>
        <w:jc w:val="both"/>
        <w:rPr/>
      </w:pPr>
      <w:r>
        <w:rPr>
          <w:sz w:val="23"/>
          <w:szCs w:val="23"/>
        </w:rPr>
        <w:t>toate impacturile (directe, indirecte, secundare, cumulative) asociate efectelor generate de cele două amenajamente. Formele de impact analizate includ: pierderi din suprafaţa habitatelor de interes comunitar şi/sau a habitatelor speciilor de interes comunitar, alterarea habitatelor, fragmentare, reducerea efectivelor populaționale ale speciilor, perturbarea activității speciilor;</w:t>
      </w:r>
    </w:p>
    <w:p>
      <w:pPr>
        <w:pStyle w:val="Listparagraf"/>
        <w:numPr>
          <w:ilvl w:val="0"/>
          <w:numId w:val="3"/>
        </w:numPr>
        <w:ind w:left="720" w:firstLine="567"/>
        <w:jc w:val="both"/>
        <w:rPr/>
      </w:pPr>
      <w:r>
        <w:rPr>
          <w:sz w:val="23"/>
          <w:szCs w:val="23"/>
        </w:rPr>
        <w:t>obiectivele de conservare specifice ale ANPIC</w:t>
      </w:r>
      <w:r>
        <w:rPr>
          <w:sz w:val="23"/>
          <w:szCs w:val="23"/>
          <w:lang w:val="ro-RO"/>
        </w:rPr>
        <w:t xml:space="preserve"> </w:t>
      </w:r>
      <w:bookmarkStart w:id="21" w:name="_Hlk160900168"/>
      <w:r>
        <w:rPr>
          <w:i/>
          <w:iCs/>
          <w:sz w:val="23"/>
          <w:szCs w:val="23"/>
        </w:rPr>
        <w:t>ROSCI0042 Codru Moma</w:t>
      </w:r>
      <w:bookmarkEnd w:id="21"/>
      <w:r>
        <w:rPr>
          <w:i/>
          <w:iCs/>
          <w:sz w:val="23"/>
          <w:szCs w:val="23"/>
        </w:rPr>
        <w:t>.</w:t>
      </w:r>
      <w:r>
        <w:rPr>
          <w:sz w:val="23"/>
          <w:szCs w:val="23"/>
        </w:rPr>
        <w:t xml:space="preserve"> </w:t>
      </w:r>
    </w:p>
    <w:p>
      <w:pPr>
        <w:pStyle w:val="Listparagraf"/>
        <w:numPr>
          <w:ilvl w:val="0"/>
          <w:numId w:val="3"/>
        </w:numPr>
        <w:ind w:left="720" w:firstLine="567"/>
        <w:jc w:val="both"/>
        <w:rPr>
          <w:sz w:val="23"/>
          <w:szCs w:val="23"/>
        </w:rPr>
      </w:pPr>
      <w:r>
        <w:rPr>
          <w:iCs/>
          <w:sz w:val="23"/>
          <w:szCs w:val="23"/>
        </w:rPr>
        <w:t>parametrii și țintele stabilite de către autoritatea responsabilă cu managementul/administrarea ariilor naturale protejate de interes comunitar/administrator pentru obiectivele de conservare;</w:t>
      </w:r>
      <w:r>
        <w:rPr>
          <w:sz w:val="23"/>
          <w:szCs w:val="23"/>
        </w:rPr>
        <w:t xml:space="preserve"> </w:t>
      </w:r>
    </w:p>
    <w:p>
      <w:pPr>
        <w:pStyle w:val="Listparagraf"/>
        <w:numPr>
          <w:ilvl w:val="0"/>
          <w:numId w:val="3"/>
        </w:numPr>
        <w:ind w:left="720" w:firstLine="567"/>
        <w:jc w:val="both"/>
        <w:rPr>
          <w:sz w:val="23"/>
          <w:szCs w:val="23"/>
        </w:rPr>
      </w:pPr>
      <w:r>
        <w:rPr>
          <w:sz w:val="23"/>
          <w:szCs w:val="23"/>
        </w:rPr>
        <w:t>identificarea incertitudinilor şi indicarea lor clară de evaluare a impactului.</w:t>
      </w:r>
    </w:p>
    <w:p>
      <w:pPr>
        <w:pStyle w:val="Normal"/>
        <w:ind w:firstLine="567"/>
        <w:jc w:val="both"/>
        <w:rPr/>
      </w:pPr>
      <w:r>
        <w:rPr>
          <w:b/>
          <w:i/>
          <w:iCs/>
          <w:sz w:val="23"/>
          <w:szCs w:val="23"/>
          <w:lang w:val="ro-RO"/>
        </w:rPr>
        <w:t>Sursa datelor şi a informațiilor utilizate</w:t>
      </w:r>
      <w:r>
        <w:rPr>
          <w:bCs/>
          <w:sz w:val="23"/>
          <w:szCs w:val="23"/>
          <w:lang w:val="ro-RO"/>
        </w:rPr>
        <w:t xml:space="preserve">: </w:t>
      </w:r>
    </w:p>
    <w:p>
      <w:pPr>
        <w:pStyle w:val="Normal"/>
        <w:ind w:firstLine="567"/>
        <w:jc w:val="both"/>
        <w:rPr/>
      </w:pPr>
      <w:r>
        <w:rPr>
          <w:bCs/>
          <w:sz w:val="23"/>
          <w:szCs w:val="23"/>
          <w:lang w:val="ro-RO"/>
        </w:rPr>
        <w:t xml:space="preserve">- Obiective de conservare specifice pentru </w:t>
      </w:r>
      <w:r>
        <w:rPr>
          <w:i/>
          <w:iCs/>
          <w:sz w:val="23"/>
          <w:szCs w:val="23"/>
        </w:rPr>
        <w:t>ROSCI0042 Codru Moma</w:t>
      </w:r>
      <w:r>
        <w:rPr>
          <w:bCs/>
          <w:sz w:val="23"/>
          <w:szCs w:val="23"/>
          <w:lang w:val="ro-RO"/>
        </w:rPr>
        <w:t xml:space="preserve"> (</w:t>
      </w:r>
      <w:r>
        <w:rPr/>
        <w:t xml:space="preserve">Nota </w:t>
      </w:r>
      <w:r>
        <w:rPr>
          <w:rFonts w:eastAsia="Times New Roman" w:cs="Times New Roman"/>
          <w:color w:val="auto"/>
          <w:kern w:val="0"/>
          <w:sz w:val="24"/>
          <w:szCs w:val="24"/>
          <w:lang w:val="ro-RO" w:eastAsia="zh-CN" w:bidi="ar-SA"/>
        </w:rPr>
        <w:t>ANANP</w:t>
      </w:r>
      <w:r>
        <w:rPr/>
        <w:t xml:space="preserve"> nr. </w:t>
      </w:r>
      <w:r>
        <w:rPr>
          <w:rFonts w:eastAsia="Times New Roman" w:cs="Times New Roman"/>
          <w:color w:val="auto"/>
          <w:kern w:val="0"/>
          <w:sz w:val="24"/>
          <w:szCs w:val="24"/>
          <w:lang w:val="ro-RO" w:eastAsia="zh-CN" w:bidi="ar-SA"/>
        </w:rPr>
        <w:t xml:space="preserve">7424 </w:t>
      </w:r>
      <w:r>
        <w:rPr>
          <w:lang w:val="ro-RO"/>
        </w:rPr>
        <w:t>/ 03.12.2021</w:t>
      </w:r>
      <w:r>
        <w:rPr>
          <w:bCs/>
          <w:sz w:val="23"/>
          <w:szCs w:val="23"/>
          <w:lang w:val="ro-RO"/>
        </w:rPr>
        <w:t>)</w:t>
      </w:r>
    </w:p>
    <w:p>
      <w:pPr>
        <w:pStyle w:val="Normal"/>
        <w:ind w:firstLine="567"/>
        <w:jc w:val="both"/>
        <w:rPr/>
      </w:pPr>
      <w:r>
        <w:rPr/>
      </w:r>
    </w:p>
    <w:p>
      <w:pPr>
        <w:pStyle w:val="Normal"/>
        <w:ind w:firstLine="567"/>
        <w:jc w:val="both"/>
        <w:rPr/>
      </w:pPr>
      <w:bookmarkStart w:id="22" w:name="_Hlk160893559"/>
      <w:bookmarkStart w:id="23" w:name="_Hlk144888536"/>
      <w:bookmarkStart w:id="24" w:name="_Hlk160895382"/>
      <w:bookmarkStart w:id="25" w:name="_Hlk160899098"/>
      <w:bookmarkEnd w:id="22"/>
      <w:bookmarkEnd w:id="23"/>
      <w:bookmarkEnd w:id="24"/>
      <w:bookmarkEnd w:id="25"/>
      <w:r>
        <w:rPr>
          <w:bCs/>
          <w:iCs/>
          <w:lang w:val="ro-RO"/>
        </w:rPr>
        <w:t xml:space="preserve">Având în vedere aspectele </w:t>
      </w:r>
      <w:r>
        <w:rPr>
          <w:b/>
          <w:i/>
          <w:iCs/>
          <w:lang w:val="ro-RO"/>
        </w:rPr>
        <w:t xml:space="preserve">De evaluare a impactului asupra speciilor și habitatelor din </w:t>
      </w:r>
      <w:r>
        <w:rPr>
          <w:i/>
          <w:iCs/>
          <w:sz w:val="23"/>
          <w:szCs w:val="23"/>
        </w:rPr>
        <w:t>ROSCI0042 Codru Moma</w:t>
      </w:r>
      <w:r>
        <w:rPr>
          <w:bCs/>
          <w:iCs/>
          <w:lang w:val="ro-RO"/>
        </w:rPr>
        <w:t>, se prezintă următoarele sinteze:</w:t>
      </w:r>
    </w:p>
    <w:p>
      <w:pPr>
        <w:pStyle w:val="Normal"/>
        <w:numPr>
          <w:ilvl w:val="0"/>
          <w:numId w:val="5"/>
        </w:numPr>
        <w:ind w:left="0" w:firstLine="426"/>
        <w:jc w:val="both"/>
        <w:rPr>
          <w:bCs/>
          <w:iCs/>
          <w:lang w:val="ro-RO"/>
        </w:rPr>
      </w:pPr>
      <w:r>
        <w:rPr>
          <w:bCs/>
          <w:iCs/>
          <w:lang w:val="ro-RO"/>
        </w:rPr>
        <w:t xml:space="preserve">Identificarea tuturor intervenţiilor/lucrărilor silviculturale propuse prin Amenajamentele U.P. </w:t>
      </w:r>
      <w:r>
        <w:rPr>
          <w:lang w:eastAsia="en-US"/>
        </w:rPr>
        <w:t>IV H</w:t>
      </w:r>
      <w:r>
        <w:rPr>
          <w:lang w:val="ro-RO" w:eastAsia="en-US"/>
        </w:rPr>
        <w:t>ășmaș</w:t>
      </w:r>
      <w:r>
        <w:rPr>
          <w:b/>
          <w:lang w:eastAsia="en-US"/>
        </w:rPr>
        <w:t xml:space="preserve"> ș</w:t>
      </w:r>
      <w:r>
        <w:rPr>
          <w:bCs/>
        </w:rPr>
        <w:t>i U.P. V Groșeni</w:t>
      </w:r>
      <w:r>
        <w:rPr>
          <w:bCs/>
          <w:iCs/>
          <w:lang w:val="ro-RO"/>
        </w:rPr>
        <w:t>, ale efectelor generate de acestea şi a formelor de impact generate asupra ANPIC nu este afectată aria protejată ROSCI 0042 Codru Moma din vecinătatea Amenajamentelor mai sus menționate.</w:t>
      </w:r>
    </w:p>
    <w:p>
      <w:pPr>
        <w:pStyle w:val="Normal"/>
        <w:ind w:left="0" w:firstLine="426"/>
        <w:jc w:val="both"/>
        <w:rPr>
          <w:bCs/>
          <w:iCs/>
          <w:lang w:val="ro-RO"/>
        </w:rPr>
      </w:pPr>
      <w:r>
        <w:rPr>
          <w:bCs/>
          <w:iCs/>
          <w:lang w:val="ro-RO"/>
        </w:rPr>
      </w:r>
    </w:p>
    <w:p>
      <w:pPr>
        <w:pStyle w:val="Normal"/>
        <w:ind w:left="0" w:hanging="0"/>
        <w:jc w:val="center"/>
        <w:rPr>
          <w:lang w:val="ro-RO"/>
        </w:rPr>
      </w:pPr>
      <w:r>
        <w:rPr>
          <w:lang w:val="ro-RO"/>
        </w:rPr>
        <w:t>Identificarea relațiilor cauză – efecte – impacturi</w:t>
      </w:r>
    </w:p>
    <w:p>
      <w:pPr>
        <w:pStyle w:val="Normal"/>
        <w:ind w:left="0" w:hanging="0"/>
        <w:jc w:val="right"/>
        <w:rPr>
          <w:lang w:val="ro-RO"/>
        </w:rPr>
      </w:pPr>
      <w:r>
        <w:rPr>
          <w:lang w:val="ro-RO"/>
        </w:rPr>
        <w:t>Tabelul nr. 4</w:t>
      </w:r>
    </w:p>
    <w:tbl>
      <w:tblPr>
        <w:tblW w:w="9650" w:type="dxa"/>
        <w:jc w:val="left"/>
        <w:tblInd w:w="0" w:type="dxa"/>
        <w:tblCellMar>
          <w:top w:w="55" w:type="dxa"/>
          <w:left w:w="55" w:type="dxa"/>
          <w:bottom w:w="55" w:type="dxa"/>
          <w:right w:w="55" w:type="dxa"/>
        </w:tblCellMar>
      </w:tblPr>
      <w:tblGrid>
        <w:gridCol w:w="2167"/>
        <w:gridCol w:w="1259"/>
        <w:gridCol w:w="1516"/>
        <w:gridCol w:w="1626"/>
        <w:gridCol w:w="1467"/>
        <w:gridCol w:w="1614"/>
      </w:tblGrid>
      <w:tr>
        <w:trPr/>
        <w:tc>
          <w:tcPr>
            <w:tcW w:w="2167"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t>Tipuri de intervenții propuse de proiect în etapele de contrucție / operare / dezafectare Obiectivele PPS</w:t>
            </w:r>
          </w:p>
        </w:tc>
        <w:tc>
          <w:tcPr>
            <w:tcW w:w="1259"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t>Efecte</w:t>
            </w:r>
          </w:p>
        </w:tc>
        <w:tc>
          <w:tcPr>
            <w:tcW w:w="1516"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t>Valori prag avute în vedere pentru identificarea impactului (acolo unde este cazul)</w:t>
            </w:r>
          </w:p>
        </w:tc>
        <w:tc>
          <w:tcPr>
            <w:tcW w:w="1626"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t>Impacturi</w:t>
            </w:r>
          </w:p>
        </w:tc>
        <w:tc>
          <w:tcPr>
            <w:tcW w:w="1467"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t>Cuantificare impacturi</w:t>
            </w:r>
          </w:p>
        </w:tc>
        <w:tc>
          <w:tcPr>
            <w:tcW w:w="1614" w:type="dxa"/>
            <w:tcBorders>
              <w:top w:val="single" w:sz="4" w:space="0" w:color="000000"/>
              <w:left w:val="single" w:sz="4" w:space="0" w:color="000000"/>
              <w:bottom w:val="single" w:sz="4" w:space="0" w:color="000000"/>
              <w:right w:val="single" w:sz="4" w:space="0" w:color="000000"/>
            </w:tcBorders>
          </w:tcPr>
          <w:p>
            <w:pPr>
              <w:pStyle w:val="TableContents"/>
              <w:jc w:val="center"/>
              <w:rPr>
                <w:b/>
                <w:b/>
                <w:bCs/>
                <w:lang w:val="ro-RO"/>
              </w:rPr>
            </w:pPr>
            <w:r>
              <w:rPr>
                <w:b/>
                <w:bCs/>
                <w:lang w:val="ro-RO"/>
              </w:rPr>
            </w:r>
          </w:p>
          <w:p>
            <w:pPr>
              <w:pStyle w:val="TableContents"/>
              <w:jc w:val="center"/>
              <w:rPr>
                <w:b/>
                <w:b/>
                <w:bCs/>
                <w:lang w:val="ro-RO"/>
              </w:rPr>
            </w:pPr>
            <w:r>
              <w:rPr>
                <w:b/>
                <w:bCs/>
                <w:lang w:val="ro-RO"/>
              </w:rPr>
            </w:r>
          </w:p>
          <w:p>
            <w:pPr>
              <w:pStyle w:val="TableContents"/>
              <w:jc w:val="center"/>
              <w:rPr>
                <w:b/>
                <w:b/>
                <w:bCs/>
                <w:lang w:val="ro-RO"/>
              </w:rPr>
            </w:pPr>
            <w:r>
              <w:rPr>
                <w:b/>
                <w:bCs/>
                <w:lang w:val="ro-RO"/>
              </w:rPr>
              <w:t>ANPIC potențial afectate</w:t>
            </w:r>
          </w:p>
        </w:tc>
      </w:tr>
      <w:tr>
        <w:trPr/>
        <w:tc>
          <w:tcPr>
            <w:tcW w:w="2167" w:type="dxa"/>
            <w:tcBorders>
              <w:left w:val="single" w:sz="4" w:space="0" w:color="000000"/>
              <w:bottom w:val="single" w:sz="4" w:space="0" w:color="000000"/>
            </w:tcBorders>
            <w:vAlign w:val="center"/>
          </w:tcPr>
          <w:p>
            <w:pPr>
              <w:pStyle w:val="TableContents"/>
              <w:rPr>
                <w:lang w:val="ro-RO"/>
              </w:rPr>
            </w:pPr>
            <w:r>
              <w:rPr>
                <w:lang w:val="ro-RO"/>
              </w:rPr>
              <w:t xml:space="preserve">Lucrări silviculturale de îngrijire și conducere a arboretelor tinere, precum: degajări, curățiri și rărituri </w:t>
            </w:r>
          </w:p>
        </w:tc>
        <w:tc>
          <w:tcPr>
            <w:tcW w:w="1259" w:type="dxa"/>
            <w:tcBorders>
              <w:left w:val="single" w:sz="4" w:space="0" w:color="000000"/>
              <w:bottom w:val="single" w:sz="4" w:space="0" w:color="000000"/>
            </w:tcBorders>
          </w:tcPr>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t>Calitatea aerului</w:t>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t>Zgomotul</w:t>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t>Specii invazive</w:t>
            </w:r>
          </w:p>
        </w:tc>
        <w:tc>
          <w:tcPr>
            <w:tcW w:w="1516" w:type="dxa"/>
            <w:tcBorders>
              <w:left w:val="single" w:sz="4" w:space="0" w:color="000000"/>
              <w:bottom w:val="single" w:sz="4" w:space="0" w:color="000000"/>
            </w:tcBorders>
          </w:tcPr>
          <w:p>
            <w:pPr>
              <w:pStyle w:val="TableContents"/>
              <w:rPr>
                <w:sz w:val="18"/>
                <w:szCs w:val="18"/>
                <w:lang w:val="en-US"/>
              </w:rPr>
            </w:pPr>
            <w:r>
              <w:rPr>
                <w:sz w:val="18"/>
                <w:szCs w:val="18"/>
                <w:lang w:val="en-US"/>
              </w:rPr>
              <w:t>Monoxid de carbon – CO – 10mg/mc</w:t>
            </w:r>
          </w:p>
          <w:p>
            <w:pPr>
              <w:pStyle w:val="TableContents"/>
              <w:rPr>
                <w:sz w:val="18"/>
                <w:szCs w:val="18"/>
                <w:lang w:val="en-US"/>
              </w:rPr>
            </w:pPr>
            <w:r>
              <w:rPr>
                <w:sz w:val="18"/>
                <w:szCs w:val="18"/>
                <w:lang w:val="en-US"/>
              </w:rPr>
              <w:t>Dioxid de azot – NO2 – 200g/mc</w:t>
            </w:r>
          </w:p>
          <w:p>
            <w:pPr>
              <w:pStyle w:val="TableContents"/>
              <w:rPr>
                <w:sz w:val="18"/>
                <w:szCs w:val="18"/>
                <w:lang w:val="en-US"/>
              </w:rPr>
            </w:pPr>
            <w:r>
              <w:rPr>
                <w:sz w:val="18"/>
                <w:szCs w:val="18"/>
                <w:lang w:val="en-US"/>
              </w:rPr>
              <w:t>Oxizi de azot – NOX – 30g/mc</w:t>
            </w:r>
          </w:p>
          <w:p>
            <w:pPr>
              <w:pStyle w:val="TableContents"/>
              <w:rPr>
                <w:sz w:val="18"/>
                <w:szCs w:val="18"/>
                <w:lang w:val="en-US"/>
              </w:rPr>
            </w:pPr>
            <w:r>
              <w:rPr>
                <w:sz w:val="18"/>
                <w:szCs w:val="18"/>
                <w:lang w:val="en-US"/>
              </w:rPr>
              <w:t>Dioxid de sulf – SO2 – 125g/mc</w:t>
            </w:r>
          </w:p>
          <w:p>
            <w:pPr>
              <w:pStyle w:val="TableContents"/>
              <w:rPr>
                <w:sz w:val="18"/>
                <w:szCs w:val="18"/>
                <w:lang w:val="en-US"/>
              </w:rPr>
            </w:pPr>
            <w:r>
              <w:rPr>
                <w:sz w:val="18"/>
                <w:szCs w:val="18"/>
                <w:lang w:val="en-US"/>
              </w:rPr>
              <w:t>Plumb – PB – 500ng/mc</w:t>
            </w:r>
          </w:p>
          <w:p>
            <w:pPr>
              <w:pStyle w:val="TableContents"/>
              <w:rPr>
                <w:sz w:val="18"/>
                <w:szCs w:val="18"/>
                <w:lang w:val="en-US"/>
              </w:rPr>
            </w:pPr>
            <w:r>
              <w:rPr>
                <w:sz w:val="18"/>
                <w:szCs w:val="18"/>
                <w:lang w:val="en-US"/>
              </w:rPr>
              <w:t>Arsen–As–6mg/mc</w:t>
            </w:r>
          </w:p>
          <w:p>
            <w:pPr>
              <w:pStyle w:val="TableContents"/>
              <w:rPr>
                <w:sz w:val="18"/>
                <w:szCs w:val="18"/>
                <w:lang w:val="en-US"/>
              </w:rPr>
            </w:pPr>
            <w:r>
              <w:rPr>
                <w:sz w:val="18"/>
                <w:szCs w:val="18"/>
                <w:lang w:val="en-US"/>
              </w:rPr>
              <w:t>Cadamiu – CD – 5ng/mc</w:t>
            </w:r>
          </w:p>
          <w:p>
            <w:pPr>
              <w:pStyle w:val="TableContents"/>
              <w:rPr>
                <w:sz w:val="18"/>
                <w:szCs w:val="18"/>
                <w:lang w:val="en-US"/>
              </w:rPr>
            </w:pPr>
            <w:r>
              <w:rPr>
                <w:sz w:val="18"/>
                <w:szCs w:val="18"/>
                <w:lang w:val="en-US"/>
              </w:rPr>
              <w:t>Nichel-Ni-20ng/mc</w:t>
            </w:r>
          </w:p>
          <w:p>
            <w:pPr>
              <w:pStyle w:val="TableContents"/>
              <w:rPr>
                <w:sz w:val="18"/>
                <w:szCs w:val="18"/>
                <w:lang w:val="en-US"/>
              </w:rPr>
            </w:pPr>
            <w:r>
              <w:rPr>
                <w:sz w:val="18"/>
                <w:szCs w:val="18"/>
                <w:lang w:val="en-US"/>
              </w:rPr>
              <w:t>Benzen-C6H6-5g/mc</w:t>
            </w:r>
          </w:p>
          <w:p>
            <w:pPr>
              <w:pStyle w:val="TableContents"/>
              <w:rPr>
                <w:sz w:val="18"/>
                <w:szCs w:val="18"/>
                <w:lang w:val="en-US"/>
              </w:rPr>
            </w:pPr>
            <w:r>
              <w:rPr>
                <w:sz w:val="18"/>
                <w:szCs w:val="18"/>
                <w:lang w:val="en-US"/>
              </w:rPr>
              <w:t>Benzon piren – BaP – 1 ng/mc</w:t>
            </w:r>
          </w:p>
          <w:p>
            <w:pPr>
              <w:pStyle w:val="TableContents"/>
              <w:rPr>
                <w:sz w:val="18"/>
                <w:szCs w:val="18"/>
                <w:lang w:val="en-US"/>
              </w:rPr>
            </w:pPr>
            <w:r>
              <w:rPr>
                <w:sz w:val="18"/>
                <w:szCs w:val="18"/>
                <w:lang w:val="en-US"/>
              </w:rPr>
              <w:t>Particule in suspensie – PM10-50g/mc si PM5-20g/mc</w:t>
            </w:r>
          </w:p>
          <w:p>
            <w:pPr>
              <w:pStyle w:val="TableContents"/>
              <w:rPr>
                <w:lang w:val="en-GB"/>
              </w:rPr>
            </w:pPr>
            <w:r>
              <w:rPr>
                <w:lang w:val="en-GB"/>
              </w:rPr>
            </w:r>
          </w:p>
          <w:p>
            <w:pPr>
              <w:pStyle w:val="TableContents"/>
              <w:rPr>
                <w:lang w:val="en-GB"/>
              </w:rPr>
            </w:pPr>
            <w:r>
              <w:rPr>
                <w:lang w:val="en-GB"/>
              </w:rPr>
              <w:t>&gt; 50dB (A)</w:t>
            </w:r>
          </w:p>
          <w:p>
            <w:pPr>
              <w:pStyle w:val="TableContents"/>
              <w:rPr>
                <w:lang w:val="en-GB"/>
              </w:rPr>
            </w:pPr>
            <w:r>
              <w:rPr>
                <w:lang w:val="en-GB"/>
              </w:rPr>
            </w:r>
          </w:p>
          <w:p>
            <w:pPr>
              <w:pStyle w:val="TableContents"/>
              <w:rPr>
                <w:lang w:val="en-GB"/>
              </w:rPr>
            </w:pPr>
            <w:r>
              <w:rPr>
                <w:lang w:val="en-GB"/>
              </w:rPr>
            </w:r>
          </w:p>
          <w:p>
            <w:pPr>
              <w:pStyle w:val="TableContents"/>
              <w:rPr>
                <w:lang w:val="en-GB"/>
              </w:rPr>
            </w:pPr>
            <w:r>
              <w:rPr>
                <w:lang w:val="en-GB"/>
              </w:rPr>
            </w:r>
          </w:p>
          <w:p>
            <w:pPr>
              <w:pStyle w:val="TableContents"/>
              <w:rPr>
                <w:lang w:val="en-GB"/>
              </w:rPr>
            </w:pPr>
            <w:r>
              <w:rPr>
                <w:lang w:val="en-GB"/>
              </w:rPr>
            </w:r>
          </w:p>
          <w:p>
            <w:pPr>
              <w:pStyle w:val="TableContents"/>
              <w:rPr>
                <w:lang w:val="en-GB"/>
              </w:rPr>
            </w:pPr>
            <w:r>
              <w:rPr>
                <w:lang w:val="en-GB"/>
              </w:rPr>
            </w:r>
          </w:p>
          <w:p>
            <w:pPr>
              <w:pStyle w:val="TableContents"/>
              <w:rPr>
                <w:lang w:val="en-GB"/>
              </w:rPr>
            </w:pPr>
            <w:r>
              <w:rPr>
                <w:lang w:val="en-GB"/>
              </w:rPr>
              <w:t>2 ha</w:t>
            </w:r>
          </w:p>
        </w:tc>
        <w:tc>
          <w:tcPr>
            <w:tcW w:w="1626" w:type="dxa"/>
            <w:tcBorders>
              <w:left w:val="single" w:sz="4" w:space="0" w:color="000000"/>
              <w:bottom w:val="single" w:sz="4" w:space="0" w:color="000000"/>
            </w:tcBorders>
          </w:tcPr>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t>N</w:t>
            </w:r>
            <w:r>
              <w:rPr>
                <w:rFonts w:eastAsia="Times New Roman" w:cs="Times New Roman"/>
                <w:color w:val="auto"/>
                <w:kern w:val="0"/>
                <w:sz w:val="24"/>
                <w:szCs w:val="24"/>
                <w:lang w:val="ro-RO" w:eastAsia="zh-CN" w:bidi="ar-SA"/>
              </w:rPr>
              <w:t>eutre</w:t>
            </w:r>
            <w:r>
              <w:rPr>
                <w:lang w:val="ro-RO"/>
              </w:rPr>
              <w:t xml:space="preserve"> pe termen mediu și lung</w:t>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r>
          </w:p>
          <w:p>
            <w:pPr>
              <w:pStyle w:val="TableContents"/>
              <w:rPr>
                <w:lang w:val="ro-RO"/>
              </w:rPr>
            </w:pPr>
            <w:r>
              <w:rPr>
                <w:lang w:val="ro-RO"/>
              </w:rPr>
              <w:t>P</w:t>
            </w:r>
            <w:r>
              <w:rPr>
                <w:rFonts w:eastAsia="Times New Roman" w:cs="Times New Roman"/>
                <w:color w:val="auto"/>
                <w:kern w:val="0"/>
                <w:sz w:val="24"/>
                <w:szCs w:val="24"/>
                <w:lang w:val="en-GB" w:eastAsia="zh-CN" w:bidi="ar-SA"/>
              </w:rPr>
              <w:t>erturbare limitata – doar in momentul executarii lucrarilor</w:t>
            </w:r>
          </w:p>
          <w:p>
            <w:pPr>
              <w:pStyle w:val="TableContents"/>
              <w:rPr>
                <w:lang w:val="ro-RO"/>
              </w:rPr>
            </w:pPr>
            <w:r>
              <w:rPr>
                <w:lang w:val="ro-RO"/>
              </w:rPr>
            </w:r>
          </w:p>
          <w:p>
            <w:pPr>
              <w:pStyle w:val="TableContents"/>
              <w:rPr/>
            </w:pPr>
            <w:r>
              <w:rPr>
                <w:rFonts w:eastAsia="Times New Roman" w:cs="Times New Roman"/>
                <w:color w:val="auto"/>
                <w:kern w:val="0"/>
                <w:sz w:val="24"/>
                <w:szCs w:val="24"/>
                <w:lang w:val="en-GB" w:eastAsia="zh-CN" w:bidi="ar-SA"/>
              </w:rPr>
              <w:t>Ocupare temporara pana la executia lucrarilor de ingrijire, nu se va reduce suprafetle habitatelor</w:t>
            </w:r>
          </w:p>
        </w:tc>
        <w:tc>
          <w:tcPr>
            <w:tcW w:w="1467" w:type="dxa"/>
            <w:tcBorders>
              <w:left w:val="single" w:sz="4" w:space="0" w:color="000000"/>
              <w:bottom w:val="single" w:sz="4" w:space="0" w:color="000000"/>
            </w:tcBorders>
            <w:vAlign w:val="center"/>
          </w:tcPr>
          <w:p>
            <w:pPr>
              <w:pStyle w:val="TableContents"/>
              <w:rPr>
                <w:lang w:val="en-GB"/>
              </w:rPr>
            </w:pPr>
            <w:r>
              <w:rPr>
                <w:lang w:val="en-GB"/>
              </w:rPr>
              <w:t>Degajari pe o suprafata de 13.24 ha</w:t>
            </w:r>
          </w:p>
          <w:p>
            <w:pPr>
              <w:pStyle w:val="TableContents"/>
              <w:rPr>
                <w:lang w:val="en-GB"/>
              </w:rPr>
            </w:pPr>
            <w:r>
              <w:rPr>
                <w:lang w:val="en-GB"/>
              </w:rPr>
            </w:r>
          </w:p>
          <w:p>
            <w:pPr>
              <w:pStyle w:val="TableContents"/>
              <w:rPr>
                <w:lang w:val="en-GB"/>
              </w:rPr>
            </w:pPr>
            <w:r>
              <w:rPr>
                <w:lang w:val="en-GB"/>
              </w:rPr>
              <w:t>Curatiri pe o suprafata de 9.26 ha</w:t>
            </w:r>
          </w:p>
          <w:p>
            <w:pPr>
              <w:pStyle w:val="TableContents"/>
              <w:rPr>
                <w:lang w:val="en-GB"/>
              </w:rPr>
            </w:pPr>
            <w:r>
              <w:rPr>
                <w:lang w:val="en-GB"/>
              </w:rPr>
            </w:r>
          </w:p>
          <w:p>
            <w:pPr>
              <w:pStyle w:val="TableContents"/>
              <w:rPr>
                <w:lang w:val="en-GB"/>
              </w:rPr>
            </w:pPr>
            <w:r>
              <w:rPr>
                <w:lang w:val="en-GB"/>
              </w:rPr>
              <w:t>Rarituri pe o suprafata de 126.40 ha</w:t>
            </w:r>
          </w:p>
        </w:tc>
        <w:tc>
          <w:tcPr>
            <w:tcW w:w="1614" w:type="dxa"/>
            <w:tcBorders>
              <w:left w:val="single" w:sz="4" w:space="0" w:color="000000"/>
              <w:bottom w:val="single" w:sz="4" w:space="0" w:color="000000"/>
              <w:right w:val="single" w:sz="4" w:space="0" w:color="000000"/>
            </w:tcBorders>
            <w:vAlign w:val="center"/>
          </w:tcPr>
          <w:p>
            <w:pPr>
              <w:pStyle w:val="TableContents"/>
              <w:rPr>
                <w:lang w:val="ro-RO"/>
              </w:rPr>
            </w:pPr>
            <w:r>
              <w:rPr>
                <w:lang w:val="ro-RO"/>
              </w:rPr>
              <w:t>ROSCI0042 Codru Moma</w:t>
            </w:r>
          </w:p>
        </w:tc>
      </w:tr>
    </w:tbl>
    <w:p>
      <w:pPr>
        <w:pStyle w:val="Normal"/>
        <w:ind w:left="0" w:hanging="0"/>
        <w:jc w:val="center"/>
        <w:rPr>
          <w:lang w:val="ro-RO"/>
        </w:rPr>
      </w:pPr>
      <w:r>
        <w:rPr>
          <w:lang w:val="ro-RO"/>
        </w:rPr>
      </w:r>
    </w:p>
    <w:p>
      <w:pPr>
        <w:pStyle w:val="Normal"/>
        <w:jc w:val="both"/>
        <w:rPr>
          <w:b/>
          <w:b/>
          <w:i/>
          <w:i/>
          <w:iCs/>
          <w:color w:val="FF0000"/>
          <w:lang w:val="ro-RO"/>
        </w:rPr>
      </w:pPr>
      <w:r>
        <w:rPr>
          <w:b/>
          <w:i/>
          <w:iCs/>
          <w:color w:val="FF0000"/>
          <w:lang w:val="ro-RO"/>
        </w:rPr>
      </w:r>
    </w:p>
    <w:p>
      <w:pPr>
        <w:pStyle w:val="Listparagraf"/>
        <w:numPr>
          <w:ilvl w:val="0"/>
          <w:numId w:val="5"/>
        </w:numPr>
        <w:ind w:left="0" w:firstLine="567"/>
        <w:jc w:val="both"/>
        <w:rPr/>
      </w:pPr>
      <w:r>
        <w:rPr>
          <w:bCs/>
          <w:iCs/>
          <w:sz w:val="24"/>
          <w:szCs w:val="24"/>
        </w:rPr>
        <w:t>Lista habitatelor, speciilor şi a parametrilor acestora potenţial afectaţi de implementarea Amenajament</w:t>
      </w:r>
      <w:r>
        <w:rPr>
          <w:bCs/>
          <w:iCs/>
          <w:sz w:val="24"/>
          <w:szCs w:val="24"/>
          <w:lang w:val="ro-RO"/>
        </w:rPr>
        <w:t>ele</w:t>
      </w:r>
      <w:r>
        <w:rPr/>
        <w:t xml:space="preserve"> </w:t>
      </w:r>
      <w:r>
        <w:rPr>
          <w:sz w:val="24"/>
          <w:szCs w:val="24"/>
        </w:rPr>
        <w:t xml:space="preserve">U.P. </w:t>
      </w:r>
      <w:r>
        <w:rPr>
          <w:sz w:val="24"/>
          <w:szCs w:val="24"/>
          <w:lang w:eastAsia="en-US"/>
        </w:rPr>
        <w:t>IV Hășmaș</w:t>
      </w:r>
      <w:r>
        <w:rPr>
          <w:b/>
          <w:sz w:val="24"/>
          <w:szCs w:val="24"/>
          <w:lang w:eastAsia="en-US"/>
        </w:rPr>
        <w:t xml:space="preserve"> </w:t>
      </w:r>
      <w:r>
        <w:rPr>
          <w:bCs/>
          <w:sz w:val="24"/>
          <w:szCs w:val="24"/>
        </w:rPr>
        <w:t>și U.P. V Groșeni</w:t>
      </w:r>
      <w:r>
        <w:rPr>
          <w:bCs/>
          <w:iCs/>
          <w:sz w:val="24"/>
          <w:szCs w:val="24"/>
        </w:rPr>
        <w:t>, incluzând toate situaţiile nu se identifică impacturi negative semnificative şi/sau incerte.</w:t>
      </w:r>
    </w:p>
    <w:p>
      <w:pPr>
        <w:pStyle w:val="Listparagraf"/>
        <w:ind w:left="0" w:firstLine="567"/>
        <w:jc w:val="both"/>
        <w:rPr>
          <w:bCs/>
          <w:iCs/>
          <w:sz w:val="24"/>
          <w:szCs w:val="24"/>
        </w:rPr>
      </w:pPr>
      <w:r>
        <w:rPr>
          <w:bCs/>
          <w:iCs/>
          <w:sz w:val="24"/>
          <w:szCs w:val="24"/>
        </w:rPr>
      </w:r>
      <w:r>
        <w:br w:type="page"/>
      </w:r>
    </w:p>
    <w:p>
      <w:pPr>
        <w:pStyle w:val="Listparagraf"/>
        <w:ind w:left="0" w:hanging="0"/>
        <w:jc w:val="center"/>
        <w:rPr>
          <w:lang w:val="ro-RO"/>
        </w:rPr>
      </w:pPr>
      <w:r>
        <w:rPr>
          <w:bCs/>
          <w:iCs/>
          <w:sz w:val="24"/>
          <w:szCs w:val="24"/>
          <w:lang w:val="ro-RO"/>
        </w:rPr>
        <w:t xml:space="preserve">Estimarea impactului potenția al PP-ului asupra speciilor și habitatelor pentru care </w:t>
      </w:r>
    </w:p>
    <w:p>
      <w:pPr>
        <w:pStyle w:val="Listparagraf"/>
        <w:ind w:left="0" w:hanging="0"/>
        <w:jc w:val="center"/>
        <w:rPr>
          <w:lang w:val="ro-RO"/>
        </w:rPr>
      </w:pPr>
      <w:r>
        <w:rPr>
          <w:bCs/>
          <w:iCs/>
          <w:sz w:val="24"/>
          <w:szCs w:val="24"/>
          <w:lang w:val="ro-RO"/>
        </w:rPr>
        <w:t>ANPIC a fost desemnată</w:t>
      </w:r>
    </w:p>
    <w:p>
      <w:pPr>
        <w:pStyle w:val="Listparagraf"/>
        <w:ind w:left="0" w:hanging="0"/>
        <w:jc w:val="right"/>
        <w:rPr>
          <w:lang w:val="ro-RO"/>
        </w:rPr>
      </w:pPr>
      <w:r>
        <w:rPr>
          <w:bCs/>
          <w:iCs/>
          <w:sz w:val="24"/>
          <w:szCs w:val="24"/>
          <w:lang w:val="ro-RO"/>
        </w:rPr>
        <w:t>Tabelul nr. 5</w:t>
      </w:r>
    </w:p>
    <w:tbl>
      <w:tblPr>
        <w:tblW w:w="9644" w:type="dxa"/>
        <w:jc w:val="left"/>
        <w:tblInd w:w="0" w:type="dxa"/>
        <w:tblCellMar>
          <w:top w:w="55" w:type="dxa"/>
          <w:left w:w="55" w:type="dxa"/>
          <w:bottom w:w="55" w:type="dxa"/>
          <w:right w:w="55" w:type="dxa"/>
        </w:tblCellMar>
      </w:tblPr>
      <w:tblGrid>
        <w:gridCol w:w="1377"/>
        <w:gridCol w:w="1378"/>
        <w:gridCol w:w="1378"/>
        <w:gridCol w:w="1377"/>
        <w:gridCol w:w="1378"/>
        <w:gridCol w:w="1126"/>
        <w:gridCol w:w="1629"/>
      </w:tblGrid>
      <w:tr>
        <w:trPr/>
        <w:tc>
          <w:tcPr>
            <w:tcW w:w="1377"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Denumirea ANPIC</w:t>
            </w:r>
          </w:p>
        </w:tc>
        <w:tc>
          <w:tcPr>
            <w:tcW w:w="1378"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Specie / habitat</w:t>
            </w:r>
          </w:p>
        </w:tc>
        <w:tc>
          <w:tcPr>
            <w:tcW w:w="1378"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Paramentru afectat</w:t>
            </w:r>
          </w:p>
        </w:tc>
        <w:tc>
          <w:tcPr>
            <w:tcW w:w="1377"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Ținta parametru</w:t>
            </w:r>
          </w:p>
        </w:tc>
        <w:tc>
          <w:tcPr>
            <w:tcW w:w="1378"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Starea de conservare</w:t>
            </w:r>
          </w:p>
        </w:tc>
        <w:tc>
          <w:tcPr>
            <w:tcW w:w="1126"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Forma de impact</w:t>
            </w:r>
          </w:p>
        </w:tc>
        <w:tc>
          <w:tcPr>
            <w:tcW w:w="1629" w:type="dxa"/>
            <w:tcBorders>
              <w:top w:val="single" w:sz="4" w:space="0" w:color="000000"/>
              <w:left w:val="single" w:sz="4" w:space="0" w:color="000000"/>
              <w:bottom w:val="single" w:sz="4" w:space="0" w:color="000000"/>
              <w:right w:val="single" w:sz="4" w:space="0" w:color="000000"/>
            </w:tcBorders>
          </w:tcPr>
          <w:p>
            <w:pPr>
              <w:pStyle w:val="TableContents"/>
              <w:rPr>
                <w:b/>
                <w:b/>
                <w:bCs/>
                <w:lang w:val="ro-RO"/>
              </w:rPr>
            </w:pPr>
            <w:r>
              <w:rPr>
                <w:b/>
                <w:bCs/>
                <w:lang w:val="ro-RO"/>
              </w:rPr>
              <w:t>Specificația impactului</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6110 - Comunitati rupuicole calcifile sau pajisti bazifite din Alysso-Sedion albi</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suprafeteti de 246 ha</w:t>
            </w:r>
          </w:p>
        </w:tc>
        <w:tc>
          <w:tcPr>
            <w:tcW w:w="1378" w:type="dxa"/>
            <w:tcBorders>
              <w:left w:val="single" w:sz="4" w:space="0" w:color="000000"/>
              <w:bottom w:val="single" w:sz="4" w:space="0" w:color="000000"/>
            </w:tcBorders>
            <w:vAlign w:val="center"/>
          </w:tcPr>
          <w:p>
            <w:pPr>
              <w:pStyle w:val="TableContents"/>
              <w:rPr>
                <w:lang w:val="ro-RO"/>
              </w:rPr>
            </w:pPr>
            <w:r>
              <w:rPr>
                <w:lang w:val="ro-RO"/>
              </w:rPr>
              <w:t>Medie sau redusa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t>8210 - Versanti stancosi cu vegetatie chasmofitica pe roci calcaroase</w:t>
            </w:r>
          </w:p>
        </w:tc>
        <w:tc>
          <w:tcPr>
            <w:tcW w:w="1378" w:type="dxa"/>
            <w:tcBorders>
              <w:left w:val="single" w:sz="4" w:space="0" w:color="000000"/>
              <w:bottom w:val="single" w:sz="4" w:space="0" w:color="000000"/>
            </w:tcBorders>
            <w:vAlign w:val="center"/>
          </w:tcPr>
          <w:p>
            <w:pPr>
              <w:pStyle w:val="TableContents"/>
              <w:rPr>
                <w:sz w:val="22"/>
                <w:szCs w:val="22"/>
              </w:rPr>
            </w:pPr>
            <w:r>
              <w:rPr>
                <w:sz w:val="22"/>
                <w:szCs w:val="22"/>
                <w:lang w:val="ro-RO"/>
              </w:rPr>
              <w:t>Abundenta speciilor edificatoare / caracteristice din abundenta totala a vegetatiei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a cel puțin 50% ca procent de acoperire 4 mp</w:t>
            </w:r>
          </w:p>
        </w:tc>
        <w:tc>
          <w:tcPr>
            <w:tcW w:w="1378" w:type="dxa"/>
            <w:tcBorders>
              <w:left w:val="single" w:sz="4" w:space="0" w:color="000000"/>
              <w:bottom w:val="single" w:sz="4" w:space="0" w:color="000000"/>
            </w:tcBorders>
            <w:vAlign w:val="center"/>
          </w:tcPr>
          <w:p>
            <w:pPr>
              <w:pStyle w:val="TableContents"/>
              <w:rPr>
                <w:lang w:val="ro-RO"/>
              </w:rPr>
            </w:pPr>
            <w:r>
              <w:rPr>
                <w:lang w:val="ro-RO"/>
              </w:rPr>
              <w:t>Medie sau redusa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8220 - Versanti stancosi cu vegetatie chasmofitica pe roca silicioasa</w:t>
            </w:r>
          </w:p>
        </w:tc>
        <w:tc>
          <w:tcPr>
            <w:tcW w:w="1378" w:type="dxa"/>
            <w:tcBorders>
              <w:left w:val="single" w:sz="4" w:space="0" w:color="000000"/>
              <w:bottom w:val="single" w:sz="4" w:space="0" w:color="000000"/>
            </w:tcBorders>
            <w:vAlign w:val="center"/>
          </w:tcPr>
          <w:p>
            <w:pPr>
              <w:pStyle w:val="TableContents"/>
              <w:rPr>
                <w:lang w:val="ro-RO"/>
              </w:rPr>
            </w:pPr>
            <w:r>
              <w:rPr>
                <w:lang w:val="ro-RO"/>
              </w:rPr>
              <w:t>Bogatia de specii</w:t>
            </w:r>
          </w:p>
        </w:tc>
        <w:tc>
          <w:tcPr>
            <w:tcW w:w="1377" w:type="dxa"/>
            <w:tcBorders>
              <w:left w:val="single" w:sz="4" w:space="0" w:color="000000"/>
              <w:bottom w:val="single" w:sz="4" w:space="0" w:color="000000"/>
            </w:tcBorders>
            <w:vAlign w:val="center"/>
          </w:tcPr>
          <w:p>
            <w:pPr>
              <w:pStyle w:val="TableContents"/>
              <w:rPr>
                <w:lang w:val="ro-RO"/>
              </w:rPr>
            </w:pPr>
            <w:r>
              <w:rPr>
                <w:lang w:val="ro-RO"/>
              </w:rPr>
              <w:t>Mnetinerea a cel puțin 10 specii pe 4 mp</w:t>
            </w:r>
          </w:p>
        </w:tc>
        <w:tc>
          <w:tcPr>
            <w:tcW w:w="1378" w:type="dxa"/>
            <w:tcBorders>
              <w:left w:val="single" w:sz="4" w:space="0" w:color="000000"/>
              <w:bottom w:val="single" w:sz="4" w:space="0" w:color="000000"/>
            </w:tcBorders>
            <w:vAlign w:val="center"/>
          </w:tcPr>
          <w:p>
            <w:pPr>
              <w:pStyle w:val="TableContents"/>
              <w:rPr>
                <w:lang w:val="ro-RO"/>
              </w:rPr>
            </w:pPr>
            <w:r>
              <w:rPr>
                <w:lang w:val="ro-RO"/>
              </w:rPr>
              <w:t>Medie sau redusa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9110 - Paduri de fag de tip Luzulo – Fagetum</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suprafeteti de 1231 ha</w:t>
            </w:r>
          </w:p>
        </w:tc>
        <w:tc>
          <w:tcPr>
            <w:tcW w:w="1378" w:type="dxa"/>
            <w:tcBorders>
              <w:left w:val="single" w:sz="4" w:space="0" w:color="000000"/>
              <w:bottom w:val="single" w:sz="4" w:space="0" w:color="000000"/>
            </w:tcBorders>
            <w:vAlign w:val="center"/>
          </w:tcPr>
          <w:p>
            <w:pPr>
              <w:pStyle w:val="TableContents"/>
              <w:rPr>
                <w:lang w:val="ro-RO"/>
              </w:rPr>
            </w:pPr>
            <w:r>
              <w:rPr>
                <w:lang w:val="ro-RO"/>
              </w:rPr>
              <w:t xml:space="preserve">Medie </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9130 - Paduri de fag de tip Asperula – Fagetum</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 xml:space="preserve">Mentinerea suprafeteti de </w:t>
            </w:r>
            <w:r>
              <w:rPr>
                <w:rFonts w:eastAsia="Times New Roman" w:cs="Times New Roman"/>
                <w:color w:val="auto"/>
                <w:kern w:val="0"/>
                <w:sz w:val="24"/>
                <w:szCs w:val="24"/>
                <w:lang w:val="ro-RO" w:eastAsia="zh-CN" w:bidi="ar-SA"/>
              </w:rPr>
              <w:t>9852</w:t>
            </w:r>
            <w:r>
              <w:rPr>
                <w:lang w:val="ro-RO"/>
              </w:rPr>
              <w:t xml:space="preserve"> ha</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9180 - Paduri de Tilio – Acerion pe versanti abrupti, grohotisuri si ravene</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suprafeteti de 123 ha</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91E0 - Paduri aluviale cu Alnus Glutinosa si Fraxinus excelsior</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suprafeteti de 123 ha</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9IY0 - Paduri dacice de stejar si carpen</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lang w:val="ro-RO"/>
              </w:rPr>
            </w:pPr>
            <w:r>
              <w:rPr>
                <w:lang w:val="ro-RO"/>
              </w:rPr>
              <w:t xml:space="preserve">Mentinerea suprafeteti de </w:t>
            </w:r>
            <w:r>
              <w:rPr>
                <w:rFonts w:eastAsia="Times New Roman" w:cs="Times New Roman"/>
                <w:color w:val="auto"/>
                <w:kern w:val="0"/>
                <w:sz w:val="24"/>
                <w:szCs w:val="24"/>
                <w:lang w:val="ro-RO" w:eastAsia="zh-CN" w:bidi="ar-SA"/>
              </w:rPr>
              <w:t>738</w:t>
            </w:r>
            <w:r>
              <w:rPr>
                <w:lang w:val="ro-RO"/>
              </w:rPr>
              <w:t xml:space="preserve"> ha</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sz w:val="22"/>
                <w:szCs w:val="22"/>
              </w:rPr>
            </w:pPr>
            <w:r>
              <w:rPr>
                <w:sz w:val="22"/>
                <w:szCs w:val="22"/>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9IV0 - Paduri dacice de fag</w:t>
            </w:r>
          </w:p>
        </w:tc>
        <w:tc>
          <w:tcPr>
            <w:tcW w:w="1378" w:type="dxa"/>
            <w:tcBorders>
              <w:left w:val="single" w:sz="4" w:space="0" w:color="000000"/>
              <w:bottom w:val="single" w:sz="4" w:space="0" w:color="000000"/>
            </w:tcBorders>
            <w:vAlign w:val="center"/>
          </w:tcPr>
          <w:p>
            <w:pPr>
              <w:pStyle w:val="TableContents"/>
              <w:rPr>
                <w:lang w:val="ro-RO"/>
              </w:rPr>
            </w:pPr>
            <w:r>
              <w:rPr>
                <w:lang w:val="ro-RO"/>
              </w:rPr>
              <w:t>Suprafața habitatului</w:t>
            </w:r>
          </w:p>
        </w:tc>
        <w:tc>
          <w:tcPr>
            <w:tcW w:w="1377" w:type="dxa"/>
            <w:tcBorders>
              <w:left w:val="single" w:sz="4" w:space="0" w:color="000000"/>
              <w:bottom w:val="single" w:sz="4" w:space="0" w:color="000000"/>
            </w:tcBorders>
            <w:vAlign w:val="center"/>
          </w:tcPr>
          <w:p>
            <w:pPr>
              <w:pStyle w:val="TableContents"/>
              <w:rPr>
                <w:sz w:val="22"/>
                <w:szCs w:val="22"/>
              </w:rPr>
            </w:pPr>
            <w:r>
              <w:rPr>
                <w:sz w:val="22"/>
                <w:szCs w:val="22"/>
                <w:lang w:val="ro-RO"/>
              </w:rPr>
              <w:t xml:space="preserve">Mentinerea suprafeteti de </w:t>
            </w:r>
            <w:r>
              <w:rPr>
                <w:rFonts w:eastAsia="Times New Roman" w:cs="Times New Roman"/>
                <w:color w:val="auto"/>
                <w:kern w:val="0"/>
                <w:sz w:val="22"/>
                <w:szCs w:val="22"/>
                <w:lang w:val="ro-RO" w:eastAsia="zh-CN" w:bidi="ar-SA"/>
              </w:rPr>
              <w:t>3694</w:t>
            </w:r>
            <w:r>
              <w:rPr>
                <w:sz w:val="22"/>
                <w:szCs w:val="22"/>
                <w:lang w:val="ro-RO"/>
              </w:rPr>
              <w:t xml:space="preserve"> ha</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sz w:val="20"/>
                <w:szCs w:val="20"/>
              </w:rPr>
            </w:pPr>
            <w:r>
              <w:rPr>
                <w:sz w:val="20"/>
                <w:szCs w:val="20"/>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0"/>
                <w:szCs w:val="20"/>
              </w:rPr>
            </w:pPr>
            <w:r>
              <w:rPr>
                <w:sz w:val="20"/>
                <w:szCs w:val="20"/>
              </w:rPr>
              <w:t>1352 - Lup – Canis lupus</w:t>
            </w:r>
          </w:p>
        </w:tc>
        <w:tc>
          <w:tcPr>
            <w:tcW w:w="1378" w:type="dxa"/>
            <w:tcBorders>
              <w:left w:val="single" w:sz="4" w:space="0" w:color="000000"/>
              <w:bottom w:val="single" w:sz="4" w:space="0" w:color="000000"/>
            </w:tcBorders>
            <w:vAlign w:val="center"/>
          </w:tcPr>
          <w:p>
            <w:pPr>
              <w:pStyle w:val="TableContents"/>
              <w:rPr>
                <w:sz w:val="20"/>
                <w:szCs w:val="20"/>
              </w:rPr>
            </w:pPr>
            <w:r>
              <w:rPr>
                <w:sz w:val="20"/>
                <w:szCs w:val="20"/>
                <w:lang w:val="ro-RO"/>
              </w:rPr>
              <w:t>Mărimea populatie</w:t>
            </w:r>
          </w:p>
        </w:tc>
        <w:tc>
          <w:tcPr>
            <w:tcW w:w="1377" w:type="dxa"/>
            <w:tcBorders>
              <w:left w:val="single" w:sz="4" w:space="0" w:color="000000"/>
              <w:bottom w:val="single" w:sz="4" w:space="0" w:color="000000"/>
            </w:tcBorders>
            <w:vAlign w:val="center"/>
          </w:tcPr>
          <w:p>
            <w:pPr>
              <w:pStyle w:val="TableContents"/>
              <w:rPr>
                <w:sz w:val="20"/>
                <w:szCs w:val="20"/>
              </w:rPr>
            </w:pPr>
            <w:r>
              <w:rPr>
                <w:sz w:val="20"/>
                <w:szCs w:val="20"/>
                <w:lang w:val="ro-RO"/>
              </w:rPr>
              <w:t xml:space="preserve">Mentinerea a cel puțin 6 indivizi </w:t>
            </w:r>
          </w:p>
        </w:tc>
        <w:tc>
          <w:tcPr>
            <w:tcW w:w="1378" w:type="dxa"/>
            <w:tcBorders>
              <w:left w:val="single" w:sz="4" w:space="0" w:color="000000"/>
              <w:bottom w:val="single" w:sz="4" w:space="0" w:color="000000"/>
            </w:tcBorders>
            <w:vAlign w:val="center"/>
          </w:tcPr>
          <w:p>
            <w:pPr>
              <w:pStyle w:val="TableContents"/>
              <w:rPr>
                <w:b w:val="false"/>
                <w:b w:val="false"/>
                <w:bCs w:val="false"/>
              </w:rPr>
            </w:pPr>
            <w:r>
              <w:rPr>
                <w:b w:val="false"/>
                <w:bCs w:val="false"/>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sz w:val="24"/>
              </w:rPr>
              <w:t>1355 - Vidra – Lutra lutra</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sz w:val="24"/>
              </w:rPr>
              <w:t>1361 - Ras – Lynx lynx</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 xml:space="preserve">Mentinerea </w:t>
            </w:r>
            <w:r>
              <w:rPr>
                <w:rFonts w:eastAsia="Times New Roman" w:cs="Times New Roman"/>
                <w:color w:val="auto"/>
                <w:kern w:val="0"/>
                <w:sz w:val="24"/>
                <w:szCs w:val="24"/>
                <w:lang w:val="ro-RO" w:eastAsia="zh-CN" w:bidi="ar-SA"/>
              </w:rPr>
              <w:t>a cel puțin 4 indivizi</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sz w:val="24"/>
              </w:rPr>
              <w:t>1354 - Urs – Ursus arctos</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 xml:space="preserve">Mentinerea </w:t>
            </w:r>
            <w:r>
              <w:rPr>
                <w:rFonts w:eastAsia="Times New Roman" w:cs="Times New Roman"/>
                <w:color w:val="auto"/>
                <w:kern w:val="0"/>
                <w:sz w:val="24"/>
                <w:szCs w:val="24"/>
                <w:lang w:val="ro-RO" w:eastAsia="zh-CN" w:bidi="ar-SA"/>
              </w:rPr>
              <w:t>a cel puțin 4 indivizi</w:t>
            </w:r>
          </w:p>
        </w:tc>
        <w:tc>
          <w:tcPr>
            <w:tcW w:w="1378" w:type="dxa"/>
            <w:tcBorders>
              <w:left w:val="single" w:sz="4" w:space="0" w:color="000000"/>
              <w:bottom w:val="single" w:sz="4" w:space="0" w:color="000000"/>
            </w:tcBorders>
            <w:vAlign w:val="center"/>
          </w:tcPr>
          <w:p>
            <w:pPr>
              <w:pStyle w:val="TableContents"/>
              <w:rPr>
                <w:lang w:val="ro-RO"/>
              </w:rPr>
            </w:pPr>
            <w:r>
              <w:rPr>
                <w:lang w:val="ro-RO"/>
              </w:rPr>
              <w:t>Medie sau redusa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4008 - Triton comun transilvanean -Triturus vulgaris ampelensis</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1166 - Triton cu creasta – Triturus cristatus</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lang w:val="ro-RO"/>
              </w:rPr>
            </w:pPr>
            <w:r>
              <w:rPr>
                <w:lang w:val="ro-RO"/>
              </w:rPr>
              <w:t>Buna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sz w:val="24"/>
              </w:rPr>
              <w:t>1014 - Vertigo angustior</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lang w:val="ro-RO"/>
              </w:rPr>
            </w:pPr>
            <w:r>
              <w:rPr>
                <w:lang w:val="ro-RO"/>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6963 - Zvârlugă – Cobitis taenia</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populatiei</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lang w:val="ro-RO"/>
              </w:rPr>
            </w:pPr>
            <w:r>
              <w:rPr>
                <w:lang w:val="ro-RO"/>
              </w:rPr>
              <w:t>Medie sau redusa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1308 - Barbastella barbastellus – Liliac carn</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1310 - Miniopterus schreibersii – Liliac cu aripi lungi</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sz w:val="22"/>
                <w:szCs w:val="22"/>
              </w:rPr>
            </w:pPr>
            <w:r>
              <w:rPr>
                <w:sz w:val="22"/>
                <w:szCs w:val="22"/>
              </w:rPr>
              <w:t>1307 - Myotis blythii – Liliac comun mic</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t>1323 - Myotis bechsteinii – Liliac cu urechi mari</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t>1324 - Myotis myotis – Liliac comun</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t>1304 - Rhinolophus ferrumequinum – Liliac mare cu potcoava</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 xml:space="preserve">Mentinerea </w:t>
            </w:r>
            <w:r>
              <w:rPr>
                <w:rFonts w:eastAsia="Times New Roman" w:cs="Times New Roman"/>
                <w:color w:val="auto"/>
                <w:kern w:val="0"/>
                <w:sz w:val="24"/>
                <w:szCs w:val="24"/>
                <w:lang w:val="ro-RO" w:eastAsia="zh-CN" w:bidi="ar-SA"/>
              </w:rPr>
              <w:t>a cel puțin 110 exemplare</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r>
        <w:trPr/>
        <w:tc>
          <w:tcPr>
            <w:tcW w:w="1377" w:type="dxa"/>
            <w:tcBorders>
              <w:left w:val="single" w:sz="4" w:space="0" w:color="000000"/>
              <w:bottom w:val="single" w:sz="4" w:space="0" w:color="000000"/>
            </w:tcBorders>
            <w:vAlign w:val="center"/>
          </w:tcPr>
          <w:p>
            <w:pPr>
              <w:pStyle w:val="TableContents"/>
              <w:rPr>
                <w:lang w:val="ro-RO"/>
              </w:rPr>
            </w:pPr>
            <w:r>
              <w:rPr>
                <w:lang w:val="ro-RO"/>
              </w:rPr>
              <w:t>ROSCI0042 Codru Moma</w:t>
            </w:r>
          </w:p>
        </w:tc>
        <w:tc>
          <w:tcPr>
            <w:tcW w:w="1378" w:type="dxa"/>
            <w:tcBorders>
              <w:left w:val="single" w:sz="4" w:space="0" w:color="000000"/>
              <w:bottom w:val="single" w:sz="4" w:space="0" w:color="000000"/>
            </w:tcBorders>
            <w:vAlign w:val="center"/>
          </w:tcPr>
          <w:p>
            <w:pPr>
              <w:pStyle w:val="TableContents"/>
              <w:jc w:val="center"/>
              <w:rPr/>
            </w:pPr>
            <w:r>
              <w:rPr/>
              <w:t>1303 - Rhinolophus hipposideros – Liliac mic cu potcoava</w:t>
            </w:r>
          </w:p>
        </w:tc>
        <w:tc>
          <w:tcPr>
            <w:tcW w:w="1378" w:type="dxa"/>
            <w:tcBorders>
              <w:left w:val="single" w:sz="4" w:space="0" w:color="000000"/>
              <w:bottom w:val="single" w:sz="4" w:space="0" w:color="000000"/>
            </w:tcBorders>
            <w:vAlign w:val="center"/>
          </w:tcPr>
          <w:p>
            <w:pPr>
              <w:pStyle w:val="TableContents"/>
              <w:rPr>
                <w:lang w:val="ro-RO"/>
              </w:rPr>
            </w:pPr>
            <w:r>
              <w:rPr>
                <w:lang w:val="ro-RO"/>
              </w:rPr>
              <w:t>Mărimea populatie</w:t>
            </w:r>
          </w:p>
        </w:tc>
        <w:tc>
          <w:tcPr>
            <w:tcW w:w="1377" w:type="dxa"/>
            <w:tcBorders>
              <w:left w:val="single" w:sz="4" w:space="0" w:color="000000"/>
              <w:bottom w:val="single" w:sz="4" w:space="0" w:color="000000"/>
            </w:tcBorders>
            <w:vAlign w:val="center"/>
          </w:tcPr>
          <w:p>
            <w:pPr>
              <w:pStyle w:val="TableContents"/>
              <w:rPr>
                <w:lang w:val="ro-RO"/>
              </w:rPr>
            </w:pPr>
            <w:r>
              <w:rPr>
                <w:lang w:val="ro-RO"/>
              </w:rPr>
              <w:t>Mentinerea pana la stabilirea ei</w:t>
            </w:r>
          </w:p>
        </w:tc>
        <w:tc>
          <w:tcPr>
            <w:tcW w:w="1378" w:type="dxa"/>
            <w:tcBorders>
              <w:left w:val="single" w:sz="4" w:space="0" w:color="000000"/>
              <w:bottom w:val="single" w:sz="4" w:space="0" w:color="000000"/>
            </w:tcBorders>
            <w:vAlign w:val="center"/>
          </w:tcPr>
          <w:p>
            <w:pPr>
              <w:pStyle w:val="TableContents"/>
              <w:rPr>
                <w:rFonts w:ascii="Times New Roman" w:hAnsi="Times New Roman" w:eastAsia="Times New Roman" w:cs="Times New Roman"/>
                <w:color w:val="auto"/>
                <w:kern w:val="0"/>
                <w:sz w:val="24"/>
                <w:szCs w:val="24"/>
                <w:lang w:val="ro-RO" w:eastAsia="zh-CN" w:bidi="ar-SA"/>
              </w:rPr>
            </w:pPr>
            <w:r>
              <w:rPr>
                <w:rFonts w:eastAsia="Times New Roman" w:cs="Times New Roman"/>
                <w:color w:val="auto"/>
                <w:kern w:val="0"/>
                <w:sz w:val="24"/>
                <w:szCs w:val="24"/>
                <w:lang w:val="ro-RO" w:eastAsia="zh-CN" w:bidi="ar-SA"/>
              </w:rPr>
              <w:t>Necunoscuta</w:t>
            </w:r>
          </w:p>
        </w:tc>
        <w:tc>
          <w:tcPr>
            <w:tcW w:w="1126" w:type="dxa"/>
            <w:tcBorders>
              <w:left w:val="single" w:sz="4" w:space="0" w:color="000000"/>
              <w:bottom w:val="single" w:sz="4" w:space="0" w:color="000000"/>
            </w:tcBorders>
            <w:vAlign w:val="center"/>
          </w:tcPr>
          <w:p>
            <w:pPr>
              <w:pStyle w:val="TableContents"/>
              <w:rPr>
                <w:lang w:val="ro-RO"/>
              </w:rPr>
            </w:pPr>
            <w:r>
              <w:rPr>
                <w:lang w:val="ro-RO"/>
              </w:rPr>
              <w:t>Impact indirect</w:t>
            </w:r>
          </w:p>
        </w:tc>
        <w:tc>
          <w:tcPr>
            <w:tcW w:w="1629" w:type="dxa"/>
            <w:tcBorders>
              <w:left w:val="single" w:sz="4" w:space="0" w:color="000000"/>
              <w:bottom w:val="single" w:sz="4" w:space="0" w:color="000000"/>
              <w:right w:val="single" w:sz="4" w:space="0" w:color="000000"/>
            </w:tcBorders>
            <w:vAlign w:val="center"/>
          </w:tcPr>
          <w:p>
            <w:pPr>
              <w:pStyle w:val="TableContents"/>
              <w:rPr>
                <w:lang w:val="ro-RO"/>
              </w:rPr>
            </w:pPr>
            <w:r>
              <w:rPr>
                <w:rFonts w:eastAsia="Times New Roman" w:cs="Times New Roman"/>
                <w:color w:val="auto"/>
                <w:kern w:val="0"/>
                <w:sz w:val="24"/>
                <w:szCs w:val="24"/>
                <w:lang w:val="en-US" w:eastAsia="zh-CN" w:bidi="ar-SA"/>
              </w:rPr>
              <w:t>Impact</w:t>
            </w:r>
            <w:r>
              <w:rPr>
                <w:lang w:val="ro-RO"/>
              </w:rPr>
              <w:t xml:space="preserve">  nesemnificativ</w:t>
            </w:r>
          </w:p>
        </w:tc>
      </w:tr>
    </w:tbl>
    <w:p>
      <w:pPr>
        <w:pStyle w:val="Listparagraf"/>
        <w:ind w:left="0" w:hanging="0"/>
        <w:jc w:val="center"/>
        <w:rPr>
          <w:bCs/>
          <w:iCs/>
          <w:sz w:val="24"/>
          <w:szCs w:val="24"/>
        </w:rPr>
      </w:pPr>
      <w:r>
        <w:rPr>
          <w:bCs/>
          <w:iCs/>
          <w:sz w:val="24"/>
          <w:szCs w:val="24"/>
        </w:rPr>
      </w:r>
    </w:p>
    <w:p>
      <w:pPr>
        <w:pStyle w:val="Normal"/>
        <w:jc w:val="both"/>
        <w:rPr>
          <w:bCs/>
          <w:iCs/>
          <w:color w:val="000000"/>
          <w:lang w:val="ro-RO"/>
        </w:rPr>
      </w:pPr>
      <w:r>
        <w:rPr>
          <w:bCs/>
          <w:iCs/>
          <w:color w:val="000000"/>
          <w:lang w:val="ro-RO"/>
        </w:rPr>
        <w:tab/>
        <w:t>3. Descrierea și analiza impactului cumulativ generat de PP analizat împreună cu alte PP-uri care afectează parametrii obiectivelor de conservare a speciilor și habitatelor din ANPIC potențial afectate.</w:t>
      </w:r>
    </w:p>
    <w:p>
      <w:pPr>
        <w:pStyle w:val="Normal"/>
        <w:jc w:val="both"/>
        <w:rPr>
          <w:bCs/>
          <w:iCs/>
          <w:color w:val="000000"/>
          <w:lang w:val="ro-RO"/>
        </w:rPr>
      </w:pPr>
      <w:r>
        <w:rPr>
          <w:bCs/>
          <w:iCs/>
          <w:color w:val="000000"/>
          <w:lang w:val="ro-RO"/>
        </w:rPr>
      </w:r>
      <w:r>
        <w:br w:type="page"/>
      </w:r>
    </w:p>
    <w:p>
      <w:pPr>
        <w:pStyle w:val="Normal"/>
        <w:jc w:val="both"/>
        <w:rPr>
          <w:bCs/>
          <w:iCs/>
          <w:color w:val="000000"/>
          <w:lang w:val="ro-RO"/>
        </w:rPr>
      </w:pPr>
      <w:r>
        <w:rPr>
          <w:bCs/>
          <w:iCs/>
          <w:color w:val="000000"/>
          <w:lang w:val="ro-RO"/>
        </w:rPr>
      </w:r>
    </w:p>
    <w:p>
      <w:pPr>
        <w:pStyle w:val="Normal"/>
        <w:jc w:val="center"/>
        <w:rPr>
          <w:bCs/>
          <w:iCs/>
          <w:color w:val="000000"/>
          <w:lang w:val="ro-RO"/>
        </w:rPr>
      </w:pPr>
      <w:r>
        <w:rPr>
          <w:bCs/>
          <w:iCs/>
          <w:color w:val="000000"/>
          <w:lang w:val="ro-RO"/>
        </w:rPr>
        <w:t xml:space="preserve">Analiza impactului cumulativ </w:t>
      </w:r>
    </w:p>
    <w:p>
      <w:pPr>
        <w:pStyle w:val="Normal"/>
        <w:jc w:val="right"/>
        <w:rPr>
          <w:bCs/>
          <w:iCs/>
          <w:color w:val="000000"/>
          <w:lang w:val="ro-RO"/>
        </w:rPr>
      </w:pPr>
      <w:r>
        <w:rPr>
          <w:bCs/>
          <w:iCs/>
          <w:color w:val="000000"/>
          <w:lang w:val="ro-RO"/>
        </w:rPr>
        <w:t>Tabelul. nr. 6</w:t>
      </w:r>
    </w:p>
    <w:tbl>
      <w:tblPr>
        <w:tblW w:w="9650" w:type="dxa"/>
        <w:jc w:val="left"/>
        <w:tblInd w:w="0" w:type="dxa"/>
        <w:tblCellMar>
          <w:top w:w="55" w:type="dxa"/>
          <w:left w:w="55" w:type="dxa"/>
          <w:bottom w:w="55" w:type="dxa"/>
          <w:right w:w="55" w:type="dxa"/>
        </w:tblCellMar>
      </w:tblPr>
      <w:tblGrid>
        <w:gridCol w:w="633"/>
        <w:gridCol w:w="1250"/>
        <w:gridCol w:w="1005"/>
        <w:gridCol w:w="1165"/>
        <w:gridCol w:w="1983"/>
        <w:gridCol w:w="1204"/>
        <w:gridCol w:w="1205"/>
        <w:gridCol w:w="1203"/>
      </w:tblGrid>
      <w:tr>
        <w:trPr/>
        <w:tc>
          <w:tcPr>
            <w:tcW w:w="633"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r>
          </w:p>
          <w:p>
            <w:pPr>
              <w:pStyle w:val="TableContents"/>
              <w:rPr>
                <w:b/>
                <w:b/>
                <w:bCs/>
                <w:lang w:val="ro-RO"/>
              </w:rPr>
            </w:pPr>
            <w:r>
              <w:rPr>
                <w:b/>
                <w:bCs/>
                <w:lang w:val="ro-RO"/>
              </w:rPr>
            </w:r>
          </w:p>
          <w:p>
            <w:pPr>
              <w:pStyle w:val="TableContents"/>
              <w:rPr>
                <w:b/>
                <w:b/>
                <w:bCs/>
                <w:lang w:val="ro-RO"/>
              </w:rPr>
            </w:pPr>
            <w:r>
              <w:rPr>
                <w:b/>
                <w:bCs/>
                <w:lang w:val="ro-RO"/>
              </w:rPr>
              <w:t>Nr. crt.</w:t>
            </w:r>
          </w:p>
        </w:tc>
        <w:tc>
          <w:tcPr>
            <w:tcW w:w="1250"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r>
          </w:p>
          <w:p>
            <w:pPr>
              <w:pStyle w:val="TableContents"/>
              <w:rPr>
                <w:b/>
                <w:b/>
                <w:bCs/>
                <w:lang w:val="ro-RO"/>
              </w:rPr>
            </w:pPr>
            <w:r>
              <w:rPr>
                <w:b/>
                <w:bCs/>
                <w:lang w:val="ro-RO"/>
              </w:rPr>
            </w:r>
          </w:p>
          <w:p>
            <w:pPr>
              <w:pStyle w:val="TableContents"/>
              <w:rPr>
                <w:b/>
                <w:b/>
                <w:bCs/>
                <w:lang w:val="ro-RO"/>
              </w:rPr>
            </w:pPr>
            <w:r>
              <w:rPr>
                <w:b/>
                <w:bCs/>
                <w:lang w:val="ro-RO"/>
              </w:rPr>
              <w:t>Denumire ANPIC</w:t>
            </w:r>
          </w:p>
        </w:tc>
        <w:tc>
          <w:tcPr>
            <w:tcW w:w="1005"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r>
          </w:p>
          <w:p>
            <w:pPr>
              <w:pStyle w:val="TableContents"/>
              <w:rPr>
                <w:b/>
                <w:b/>
                <w:bCs/>
                <w:lang w:val="ro-RO"/>
              </w:rPr>
            </w:pPr>
            <w:r>
              <w:rPr>
                <w:b/>
                <w:bCs/>
                <w:lang w:val="ro-RO"/>
              </w:rPr>
            </w:r>
          </w:p>
          <w:p>
            <w:pPr>
              <w:pStyle w:val="TableContents"/>
              <w:rPr>
                <w:b/>
                <w:b/>
                <w:bCs/>
                <w:lang w:val="ro-RO"/>
              </w:rPr>
            </w:pPr>
            <w:r>
              <w:rPr>
                <w:b/>
                <w:bCs/>
                <w:lang w:val="ro-RO"/>
              </w:rPr>
              <w:t>Specia/Habitat</w:t>
            </w:r>
          </w:p>
        </w:tc>
        <w:tc>
          <w:tcPr>
            <w:tcW w:w="1165"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r>
          </w:p>
          <w:p>
            <w:pPr>
              <w:pStyle w:val="TableContents"/>
              <w:rPr>
                <w:b/>
                <w:b/>
                <w:bCs/>
                <w:lang w:val="ro-RO"/>
              </w:rPr>
            </w:pPr>
            <w:r>
              <w:rPr>
                <w:b/>
                <w:bCs/>
                <w:lang w:val="ro-RO"/>
              </w:rPr>
            </w:r>
          </w:p>
          <w:p>
            <w:pPr>
              <w:pStyle w:val="TableContents"/>
              <w:rPr>
                <w:b/>
                <w:b/>
                <w:bCs/>
                <w:lang w:val="ro-RO"/>
              </w:rPr>
            </w:pPr>
            <w:r>
              <w:rPr>
                <w:b/>
                <w:bCs/>
                <w:lang w:val="ro-RO"/>
              </w:rPr>
              <w:t>Parametru afectat</w:t>
            </w:r>
          </w:p>
        </w:tc>
        <w:tc>
          <w:tcPr>
            <w:tcW w:w="1983"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Presiuni / amenințări alte PP care pot genera impact cumulat asupra paramentrului afectat</w:t>
            </w:r>
          </w:p>
        </w:tc>
        <w:tc>
          <w:tcPr>
            <w:tcW w:w="1204"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 xml:space="preserve"> </w:t>
            </w:r>
            <w:r>
              <w:rPr>
                <w:b/>
                <w:bCs/>
                <w:lang w:val="ro-RO"/>
              </w:rPr>
              <w:t>Cuntificarea impactului cumulat</w:t>
            </w:r>
          </w:p>
        </w:tc>
        <w:tc>
          <w:tcPr>
            <w:tcW w:w="1205" w:type="dxa"/>
            <w:tcBorders>
              <w:top w:val="single" w:sz="4" w:space="0" w:color="000000"/>
              <w:left w:val="single" w:sz="4" w:space="0" w:color="000000"/>
              <w:bottom w:val="single" w:sz="4" w:space="0" w:color="000000"/>
            </w:tcBorders>
          </w:tcPr>
          <w:p>
            <w:pPr>
              <w:pStyle w:val="TableContents"/>
              <w:rPr>
                <w:b/>
                <w:b/>
                <w:bCs/>
                <w:lang w:val="ro-RO"/>
              </w:rPr>
            </w:pPr>
            <w:r>
              <w:rPr>
                <w:b/>
                <w:bCs/>
                <w:lang w:val="ro-RO"/>
              </w:rPr>
              <w:t xml:space="preserve"> </w:t>
            </w:r>
            <w:r>
              <w:rPr>
                <w:b/>
                <w:bCs/>
                <w:lang w:val="ro-RO"/>
              </w:rPr>
              <w:t>Semnificația impactului cumulat</w:t>
            </w:r>
          </w:p>
        </w:tc>
        <w:tc>
          <w:tcPr>
            <w:tcW w:w="1203" w:type="dxa"/>
            <w:tcBorders>
              <w:top w:val="single" w:sz="4" w:space="0" w:color="000000"/>
              <w:left w:val="single" w:sz="4" w:space="0" w:color="000000"/>
              <w:bottom w:val="single" w:sz="4" w:space="0" w:color="000000"/>
              <w:right w:val="single" w:sz="4" w:space="0" w:color="000000"/>
            </w:tcBorders>
          </w:tcPr>
          <w:p>
            <w:pPr>
              <w:pStyle w:val="TableContents"/>
              <w:rPr>
                <w:b/>
                <w:b/>
                <w:bCs/>
                <w:lang w:val="ro-RO"/>
              </w:rPr>
            </w:pPr>
            <w:r>
              <w:rPr>
                <w:b/>
                <w:bCs/>
                <w:lang w:val="ro-RO"/>
              </w:rPr>
              <w:t xml:space="preserve"> </w:t>
            </w:r>
            <w:r>
              <w:rPr>
                <w:b/>
                <w:bCs/>
                <w:lang w:val="ro-RO"/>
              </w:rPr>
              <w:t>Justificarea semnificației impactului cumulat*</w:t>
            </w:r>
          </w:p>
        </w:tc>
      </w:tr>
      <w:tr>
        <w:trPr/>
        <w:tc>
          <w:tcPr>
            <w:tcW w:w="633" w:type="dxa"/>
            <w:tcBorders>
              <w:left w:val="single" w:sz="4" w:space="0" w:color="000000"/>
              <w:bottom w:val="single" w:sz="4" w:space="0" w:color="000000"/>
            </w:tcBorders>
            <w:vAlign w:val="center"/>
          </w:tcPr>
          <w:p>
            <w:pPr>
              <w:pStyle w:val="TableContents"/>
              <w:jc w:val="center"/>
              <w:rPr/>
            </w:pPr>
            <w:r>
              <w:rPr>
                <w:lang w:val="ro-RO"/>
              </w:rPr>
              <w:t>1</w:t>
            </w:r>
          </w:p>
        </w:tc>
        <w:tc>
          <w:tcPr>
            <w:tcW w:w="1250" w:type="dxa"/>
            <w:tcBorders>
              <w:left w:val="single" w:sz="4" w:space="0" w:color="000000"/>
              <w:bottom w:val="single" w:sz="4" w:space="0" w:color="000000"/>
            </w:tcBorders>
            <w:vAlign w:val="center"/>
          </w:tcPr>
          <w:p>
            <w:pPr>
              <w:pStyle w:val="TableContents"/>
              <w:jc w:val="center"/>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6110 - Comunitati rupuicole calcifile sau pajisti bazifite din Alysso-Sedion albi</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pPr>
            <w:r>
              <w:rPr>
                <w:lang w:val="ro-RO"/>
              </w:rPr>
              <w:t>Creșterea animalelor</w:t>
            </w:r>
          </w:p>
        </w:tc>
        <w:tc>
          <w:tcPr>
            <w:tcW w:w="1204" w:type="dxa"/>
            <w:tcBorders>
              <w:left w:val="single" w:sz="4" w:space="0" w:color="000000"/>
              <w:bottom w:val="single" w:sz="4" w:space="0" w:color="000000"/>
            </w:tcBorders>
            <w:vAlign w:val="center"/>
          </w:tcPr>
          <w:p>
            <w:pPr>
              <w:pStyle w:val="TableContents"/>
              <w:jc w:val="center"/>
              <w:rPr/>
            </w:pPr>
            <w:r>
              <w:rPr/>
              <w:t>0 %</w:t>
            </w:r>
          </w:p>
        </w:tc>
        <w:tc>
          <w:tcPr>
            <w:tcW w:w="1205" w:type="dxa"/>
            <w:tcBorders>
              <w:left w:val="single" w:sz="4" w:space="0" w:color="000000"/>
              <w:bottom w:val="single" w:sz="4" w:space="0" w:color="000000"/>
            </w:tcBorders>
            <w:vAlign w:val="center"/>
          </w:tcPr>
          <w:p>
            <w:pPr>
              <w:pStyle w:val="TableContents"/>
              <w:jc w:val="center"/>
              <w:rPr/>
            </w:pPr>
            <w:r>
              <w:rPr>
                <w:lang w:val="ro-RO"/>
              </w:rPr>
              <w:t>nesemnificativ</w:t>
            </w:r>
          </w:p>
        </w:tc>
        <w:tc>
          <w:tcPr>
            <w:tcW w:w="1203" w:type="dxa"/>
            <w:vMerge w:val="restart"/>
            <w:tcBorders>
              <w:left w:val="single" w:sz="4" w:space="0" w:color="000000"/>
              <w:bottom w:val="single" w:sz="4" w:space="0" w:color="000000"/>
              <w:right w:val="single" w:sz="4" w:space="0" w:color="000000"/>
            </w:tcBorders>
            <w:vAlign w:val="center"/>
          </w:tcPr>
          <w:p>
            <w:pPr>
              <w:pStyle w:val="Normal"/>
              <w:ind w:firstLine="242"/>
              <w:jc w:val="both"/>
              <w:rPr>
                <w:rFonts w:ascii="Times New Roman" w:hAnsi="Times New Roman" w:cs="Times New Roman"/>
                <w:sz w:val="24"/>
                <w:szCs w:val="24"/>
                <w:lang w:val="ro-RO"/>
              </w:rPr>
            </w:pPr>
            <w:r>
              <w:rPr>
                <w:rFonts w:cs="Times New Roman"/>
                <w:sz w:val="24"/>
                <w:szCs w:val="24"/>
                <w:lang w:val="ro-RO"/>
              </w:rPr>
              <w:t>Conform legislaţiei naționale, toate amenajamentele silvice se realizează în baza unor norme</w:t>
            </w:r>
            <w:r>
              <w:rPr>
                <w:rFonts w:cs="Times New Roman"/>
                <w:spacing w:val="1"/>
                <w:sz w:val="24"/>
                <w:szCs w:val="24"/>
                <w:lang w:val="ro-RO"/>
              </w:rPr>
              <w:t xml:space="preserve"> </w:t>
            </w:r>
            <w:r>
              <w:rPr>
                <w:rFonts w:cs="Times New Roman"/>
                <w:sz w:val="24"/>
                <w:szCs w:val="24"/>
                <w:lang w:val="ro-RO"/>
              </w:rPr>
              <w:t>silvice de amenajare a pădurilor ce stabilesc cadrul în care se stabilesc funcţiile pădurii, respectiv</w:t>
            </w:r>
            <w:r>
              <w:rPr>
                <w:rFonts w:cs="Times New Roman"/>
                <w:spacing w:val="1"/>
                <w:sz w:val="24"/>
                <w:szCs w:val="24"/>
                <w:lang w:val="ro-RO"/>
              </w:rPr>
              <w:t xml:space="preserve"> </w:t>
            </w:r>
            <w:r>
              <w:rPr>
                <w:rFonts w:cs="Times New Roman"/>
                <w:sz w:val="24"/>
                <w:szCs w:val="24"/>
                <w:lang w:val="ro-RO"/>
              </w:rPr>
              <w:t>obiectivele de protecţie sau producţie. Normele silvice stabilesc de asemenea şi cadrul tehnic în care</w:t>
            </w:r>
            <w:r>
              <w:rPr>
                <w:rFonts w:cs="Times New Roman"/>
                <w:spacing w:val="1"/>
                <w:sz w:val="24"/>
                <w:szCs w:val="24"/>
                <w:lang w:val="ro-RO"/>
              </w:rPr>
              <w:t xml:space="preserve"> </w:t>
            </w:r>
            <w:r>
              <w:rPr>
                <w:rFonts w:cs="Times New Roman"/>
                <w:sz w:val="24"/>
                <w:szCs w:val="24"/>
                <w:lang w:val="ro-RO"/>
              </w:rPr>
              <w:t>soluţiile tehnice pot fi stabilite.</w:t>
            </w:r>
            <w:r>
              <w:rPr>
                <w:rFonts w:cs="Times New Roman"/>
                <w:spacing w:val="1"/>
                <w:sz w:val="24"/>
                <w:szCs w:val="24"/>
                <w:lang w:val="ro-RO"/>
              </w:rPr>
              <w:t xml:space="preserve"> </w:t>
            </w:r>
            <w:r>
              <w:rPr>
                <w:rFonts w:cs="Times New Roman"/>
                <w:sz w:val="24"/>
                <w:szCs w:val="24"/>
                <w:lang w:val="ro-RO"/>
              </w:rPr>
              <w:t>În condiţiile</w:t>
            </w:r>
            <w:r>
              <w:rPr>
                <w:rFonts w:cs="Times New Roman"/>
                <w:spacing w:val="1"/>
                <w:sz w:val="24"/>
                <w:szCs w:val="24"/>
                <w:lang w:val="ro-RO"/>
              </w:rPr>
              <w:t xml:space="preserve"> </w:t>
            </w:r>
            <w:r>
              <w:rPr>
                <w:rFonts w:cs="Times New Roman"/>
                <w:sz w:val="24"/>
                <w:szCs w:val="24"/>
                <w:lang w:val="ro-RO"/>
              </w:rPr>
              <w:t>în</w:t>
            </w:r>
            <w:r>
              <w:rPr>
                <w:rFonts w:cs="Times New Roman"/>
                <w:spacing w:val="1"/>
                <w:sz w:val="24"/>
                <w:szCs w:val="24"/>
                <w:lang w:val="ro-RO"/>
              </w:rPr>
              <w:t xml:space="preserve"> </w:t>
            </w:r>
            <w:r>
              <w:rPr>
                <w:rFonts w:cs="Times New Roman"/>
                <w:sz w:val="24"/>
                <w:szCs w:val="24"/>
                <w:lang w:val="ro-RO"/>
              </w:rPr>
              <w:t>care amenajamentele</w:t>
            </w:r>
            <w:r>
              <w:rPr>
                <w:rFonts w:cs="Times New Roman"/>
                <w:spacing w:val="1"/>
                <w:sz w:val="24"/>
                <w:szCs w:val="24"/>
                <w:lang w:val="ro-RO"/>
              </w:rPr>
              <w:t xml:space="preserve"> </w:t>
            </w:r>
            <w:r>
              <w:rPr>
                <w:rFonts w:cs="Times New Roman"/>
                <w:sz w:val="24"/>
                <w:szCs w:val="24"/>
                <w:lang w:val="ro-RO"/>
              </w:rPr>
              <w:t>vecine au</w:t>
            </w:r>
            <w:r>
              <w:rPr>
                <w:rFonts w:cs="Times New Roman"/>
                <w:spacing w:val="1"/>
                <w:sz w:val="24"/>
                <w:szCs w:val="24"/>
                <w:lang w:val="ro-RO"/>
              </w:rPr>
              <w:t xml:space="preserve"> </w:t>
            </w:r>
            <w:r>
              <w:rPr>
                <w:rFonts w:cs="Times New Roman"/>
                <w:sz w:val="24"/>
                <w:szCs w:val="24"/>
                <w:lang w:val="ro-RO"/>
              </w:rPr>
              <w:t>fost</w:t>
            </w:r>
            <w:r>
              <w:rPr>
                <w:rFonts w:cs="Times New Roman"/>
                <w:spacing w:val="1"/>
                <w:sz w:val="24"/>
                <w:szCs w:val="24"/>
                <w:lang w:val="ro-RO"/>
              </w:rPr>
              <w:t xml:space="preserve"> </w:t>
            </w:r>
            <w:r>
              <w:rPr>
                <w:rFonts w:cs="Times New Roman"/>
                <w:sz w:val="24"/>
                <w:szCs w:val="24"/>
                <w:lang w:val="ro-RO"/>
              </w:rPr>
              <w:t>realizate</w:t>
            </w:r>
            <w:r>
              <w:rPr>
                <w:rFonts w:cs="Times New Roman"/>
                <w:spacing w:val="1"/>
                <w:sz w:val="24"/>
                <w:szCs w:val="24"/>
                <w:lang w:val="ro-RO"/>
              </w:rPr>
              <w:t xml:space="preserve"> </w:t>
            </w:r>
            <w:r>
              <w:rPr>
                <w:rFonts w:cs="Times New Roman"/>
                <w:sz w:val="24"/>
                <w:szCs w:val="24"/>
                <w:lang w:val="ro-RO"/>
              </w:rPr>
              <w:t>în</w:t>
            </w:r>
            <w:r>
              <w:rPr>
                <w:rFonts w:cs="Times New Roman"/>
                <w:spacing w:val="1"/>
                <w:sz w:val="24"/>
                <w:szCs w:val="24"/>
                <w:lang w:val="ro-RO"/>
              </w:rPr>
              <w:t xml:space="preserve"> </w:t>
            </w:r>
            <w:r>
              <w:rPr>
                <w:rFonts w:cs="Times New Roman"/>
                <w:sz w:val="24"/>
                <w:szCs w:val="24"/>
                <w:lang w:val="ro-RO"/>
              </w:rPr>
              <w:t>conformitate cu normele tehnice</w:t>
            </w:r>
            <w:r>
              <w:rPr>
                <w:rFonts w:cs="Times New Roman"/>
                <w:spacing w:val="1"/>
                <w:sz w:val="24"/>
                <w:szCs w:val="24"/>
                <w:lang w:val="ro-RO"/>
              </w:rPr>
              <w:t xml:space="preserve"> </w:t>
            </w:r>
            <w:r>
              <w:rPr>
                <w:rFonts w:cs="Times New Roman"/>
                <w:sz w:val="24"/>
                <w:szCs w:val="24"/>
                <w:lang w:val="ro-RO"/>
              </w:rPr>
              <w:t>şi ţinând cont de realităţile existente</w:t>
            </w:r>
            <w:r>
              <w:rPr>
                <w:rFonts w:cs="Times New Roman"/>
                <w:spacing w:val="1"/>
                <w:sz w:val="24"/>
                <w:szCs w:val="24"/>
                <w:lang w:val="ro-RO"/>
              </w:rPr>
              <w:t xml:space="preserve"> </w:t>
            </w:r>
            <w:r>
              <w:rPr>
                <w:rFonts w:cs="Times New Roman"/>
                <w:sz w:val="24"/>
                <w:szCs w:val="24"/>
                <w:lang w:val="ro-RO"/>
              </w:rPr>
              <w:t>în teren, putem estima că</w:t>
            </w:r>
            <w:r>
              <w:rPr>
                <w:rFonts w:cs="Times New Roman"/>
                <w:spacing w:val="1"/>
                <w:sz w:val="24"/>
                <w:szCs w:val="24"/>
                <w:lang w:val="ro-RO"/>
              </w:rPr>
              <w:t xml:space="preserve"> </w:t>
            </w:r>
            <w:r>
              <w:rPr>
                <w:rFonts w:cs="Times New Roman"/>
                <w:i/>
                <w:sz w:val="24"/>
                <w:szCs w:val="24"/>
                <w:lang w:val="ro-RO"/>
              </w:rPr>
              <w:t>impactul</w:t>
            </w:r>
            <w:r>
              <w:rPr>
                <w:rFonts w:cs="Times New Roman"/>
                <w:i/>
                <w:spacing w:val="1"/>
                <w:sz w:val="24"/>
                <w:szCs w:val="24"/>
                <w:lang w:val="ro-RO"/>
              </w:rPr>
              <w:t xml:space="preserve"> </w:t>
            </w:r>
            <w:r>
              <w:rPr>
                <w:rFonts w:cs="Times New Roman"/>
                <w:i/>
                <w:sz w:val="24"/>
                <w:szCs w:val="24"/>
                <w:lang w:val="ro-RO"/>
              </w:rPr>
              <w:t>cumulat</w:t>
            </w:r>
            <w:r>
              <w:rPr>
                <w:rFonts w:cs="Times New Roman"/>
                <w:i/>
                <w:spacing w:val="1"/>
                <w:sz w:val="24"/>
                <w:szCs w:val="24"/>
                <w:lang w:val="ro-RO"/>
              </w:rPr>
              <w:t xml:space="preserve"> </w:t>
            </w:r>
            <w:r>
              <w:rPr>
                <w:rFonts w:cs="Times New Roman"/>
                <w:sz w:val="24"/>
                <w:szCs w:val="24"/>
                <w:lang w:val="ro-RO"/>
              </w:rPr>
              <w:t>al</w:t>
            </w:r>
            <w:r>
              <w:rPr>
                <w:rFonts w:cs="Times New Roman"/>
                <w:spacing w:val="1"/>
                <w:sz w:val="24"/>
                <w:szCs w:val="24"/>
                <w:lang w:val="ro-RO"/>
              </w:rPr>
              <w:t xml:space="preserve"> </w:t>
            </w:r>
            <w:r>
              <w:rPr>
                <w:rFonts w:cs="Times New Roman"/>
                <w:sz w:val="24"/>
                <w:szCs w:val="24"/>
                <w:lang w:val="ro-RO"/>
              </w:rPr>
              <w:t>acestor</w:t>
            </w:r>
            <w:r>
              <w:rPr>
                <w:rFonts w:cs="Times New Roman"/>
                <w:spacing w:val="1"/>
                <w:sz w:val="24"/>
                <w:szCs w:val="24"/>
                <w:lang w:val="ro-RO"/>
              </w:rPr>
              <w:t xml:space="preserve"> </w:t>
            </w:r>
            <w:r>
              <w:rPr>
                <w:rFonts w:cs="Times New Roman"/>
                <w:sz w:val="24"/>
                <w:szCs w:val="24"/>
                <w:lang w:val="ro-RO"/>
              </w:rPr>
              <w:t>amenajamente</w:t>
            </w:r>
            <w:r>
              <w:rPr>
                <w:rFonts w:cs="Times New Roman"/>
                <w:spacing w:val="1"/>
                <w:sz w:val="24"/>
                <w:szCs w:val="24"/>
                <w:lang w:val="ro-RO"/>
              </w:rPr>
              <w:t xml:space="preserve"> </w:t>
            </w:r>
            <w:r>
              <w:rPr>
                <w:rFonts w:cs="Times New Roman"/>
                <w:sz w:val="24"/>
                <w:szCs w:val="24"/>
                <w:lang w:val="ro-RO"/>
              </w:rPr>
              <w:t>asupra</w:t>
            </w:r>
            <w:r>
              <w:rPr>
                <w:rFonts w:cs="Times New Roman"/>
                <w:spacing w:val="1"/>
                <w:sz w:val="24"/>
                <w:szCs w:val="24"/>
                <w:lang w:val="ro-RO"/>
              </w:rPr>
              <w:t xml:space="preserve"> </w:t>
            </w:r>
            <w:r>
              <w:rPr>
                <w:rFonts w:cs="Times New Roman"/>
                <w:sz w:val="24"/>
                <w:szCs w:val="24"/>
                <w:lang w:val="ro-RO"/>
              </w:rPr>
              <w:t>integrităţii</w:t>
            </w:r>
            <w:r>
              <w:rPr>
                <w:rFonts w:cs="Times New Roman"/>
                <w:spacing w:val="1"/>
                <w:sz w:val="24"/>
                <w:szCs w:val="24"/>
                <w:lang w:val="ro-RO"/>
              </w:rPr>
              <w:t xml:space="preserve"> </w:t>
            </w:r>
            <w:r>
              <w:rPr>
                <w:rFonts w:cs="Times New Roman"/>
                <w:sz w:val="24"/>
                <w:szCs w:val="24"/>
                <w:lang w:val="ro-RO"/>
              </w:rPr>
              <w:t>ariilor</w:t>
            </w:r>
            <w:r>
              <w:rPr>
                <w:rFonts w:cs="Times New Roman"/>
                <w:spacing w:val="1"/>
                <w:sz w:val="24"/>
                <w:szCs w:val="24"/>
                <w:lang w:val="ro-RO"/>
              </w:rPr>
              <w:t xml:space="preserve"> </w:t>
            </w:r>
            <w:r>
              <w:rPr>
                <w:rFonts w:cs="Times New Roman"/>
                <w:sz w:val="24"/>
                <w:szCs w:val="24"/>
                <w:lang w:val="ro-RO"/>
              </w:rPr>
              <w:t>protejate</w:t>
            </w:r>
            <w:r>
              <w:rPr>
                <w:rFonts w:cs="Times New Roman"/>
                <w:spacing w:val="1"/>
                <w:sz w:val="24"/>
                <w:szCs w:val="24"/>
                <w:lang w:val="ro-RO"/>
              </w:rPr>
              <w:t xml:space="preserve"> </w:t>
            </w:r>
            <w:r>
              <w:rPr>
                <w:rFonts w:cs="Times New Roman"/>
                <w:sz w:val="24"/>
                <w:szCs w:val="24"/>
                <w:lang w:val="ro-RO"/>
              </w:rPr>
              <w:t>este</w:t>
            </w:r>
            <w:r>
              <w:rPr>
                <w:rFonts w:cs="Times New Roman"/>
                <w:spacing w:val="1"/>
                <w:sz w:val="24"/>
                <w:szCs w:val="24"/>
                <w:lang w:val="ro-RO"/>
              </w:rPr>
              <w:t xml:space="preserve"> </w:t>
            </w:r>
            <w:r>
              <w:rPr>
                <w:rFonts w:cs="Times New Roman"/>
                <w:sz w:val="24"/>
                <w:szCs w:val="24"/>
                <w:lang w:val="ro-RO"/>
              </w:rPr>
              <w:t>de</w:t>
            </w:r>
            <w:r>
              <w:rPr>
                <w:rFonts w:cs="Times New Roman"/>
                <w:spacing w:val="1"/>
                <w:sz w:val="24"/>
                <w:szCs w:val="24"/>
                <w:lang w:val="ro-RO"/>
              </w:rPr>
              <w:t xml:space="preserve"> </w:t>
            </w:r>
            <w:r>
              <w:rPr>
                <w:rFonts w:cs="Times New Roman"/>
                <w:sz w:val="24"/>
                <w:szCs w:val="24"/>
                <w:lang w:val="ro-RO"/>
              </w:rPr>
              <w:t>asemenea</w:t>
            </w:r>
            <w:r>
              <w:rPr>
                <w:rFonts w:cs="Times New Roman"/>
                <w:spacing w:val="1"/>
                <w:sz w:val="24"/>
                <w:szCs w:val="24"/>
                <w:lang w:val="ro-RO"/>
              </w:rPr>
              <w:t xml:space="preserve"> </w:t>
            </w:r>
            <w:r>
              <w:rPr>
                <w:rFonts w:cs="Times New Roman"/>
                <w:i/>
                <w:sz w:val="24"/>
                <w:szCs w:val="24"/>
                <w:lang w:val="ro-RO"/>
              </w:rPr>
              <w:t>nesemnificativ</w:t>
            </w:r>
            <w:r>
              <w:rPr>
                <w:rFonts w:cs="Times New Roman"/>
                <w:sz w:val="24"/>
                <w:szCs w:val="24"/>
                <w:lang w:val="ro-RO"/>
              </w:rPr>
              <w:t>.</w:t>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8210 - Versanti stancosi cu vegetatie chasmofitica pe roci calcaroase</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Abundenta speciilor edificatoare / caracteristice din abundenta totala a vegetatiei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3</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8220 - Versanti stancosi cu vegetatie chasmofitica pe roca silicioasa</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Bogatia de specii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4</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9110 - Paduri de fag de tip Luzulo – Fagetum</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5</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9130 - Paduri de fag de tip Asperula – Fagetum</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6</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9180 - Paduri de Tilio – Acerion pe versanti abrupti, grohotisuri si ravene</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7</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91E0 - Paduri aluviale cu Alnus Glutinosa si Fraxinus excelsior</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8</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9IY0 - Paduri dacice de stejar si carpen</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9</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9IV0 - Paduri dacice de fag</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Suprafața habitatului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Exploatarea forestiera fără replantare sau refacere naturala</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10</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1352 - Lup – Canis lupus</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11</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1355 - Vidra – Lutra lutra</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12</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1361 - Ras – Lynx lynx</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13</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1354 - Urs – Ursus arctos</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14</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4008 - Triton comun transilvanean -Triturus vulgaris ampelensis</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15</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1166 - Triton cu creasta – Triturus cristatus</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16</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1014 - Vertigo angustior</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17</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sz w:val="24"/>
              </w:rPr>
              <w:t>6963 - Zvârlugă – Cobitis taenia</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populatiei</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18</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1308 - Barbastella barbastellus – Liliac carn</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19</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1310 - Miniopterus schreibersii – Liliac cu aripi lungi</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20</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1307 - Myotis blythii – Liliac comun mic</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21</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1323 - Myotis bechsteinii – Liliac cu urechi mari</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22</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1324 - Myotis myotis – Liliac comun</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23</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r>
          </w:p>
          <w:p>
            <w:pPr>
              <w:pStyle w:val="TableContents"/>
              <w:jc w:val="center"/>
              <w:rPr/>
            </w:pPr>
            <w:r>
              <w:rPr/>
              <w:t>1304 - Rhinolophus ferrumequinum – Liliac mare cu potcoava</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r>
        <w:trPr/>
        <w:tc>
          <w:tcPr>
            <w:tcW w:w="633" w:type="dxa"/>
            <w:tcBorders>
              <w:left w:val="single" w:sz="4" w:space="0" w:color="000000"/>
              <w:bottom w:val="single" w:sz="4" w:space="0" w:color="000000"/>
            </w:tcBorders>
            <w:vAlign w:val="center"/>
          </w:tcPr>
          <w:p>
            <w:pPr>
              <w:pStyle w:val="TableContents"/>
              <w:jc w:val="center"/>
              <w:rPr>
                <w:lang w:val="ro-RO"/>
              </w:rPr>
            </w:pPr>
            <w:r>
              <w:rPr>
                <w:lang w:val="ro-RO"/>
              </w:rPr>
              <w:t>24</w:t>
            </w:r>
          </w:p>
        </w:tc>
        <w:tc>
          <w:tcPr>
            <w:tcW w:w="1250" w:type="dxa"/>
            <w:tcBorders>
              <w:left w:val="single" w:sz="4" w:space="0" w:color="000000"/>
              <w:bottom w:val="single" w:sz="4" w:space="0" w:color="000000"/>
            </w:tcBorders>
            <w:vAlign w:val="center"/>
          </w:tcPr>
          <w:p>
            <w:pPr>
              <w:pStyle w:val="TableContents"/>
              <w:jc w:val="center"/>
              <w:rPr>
                <w:lang w:val="ro-RO"/>
              </w:rPr>
            </w:pPr>
            <w:r>
              <w:rPr>
                <w:lang w:val="ro-RO"/>
              </w:rPr>
              <w:t>ROSCI0042 Codru Moma</w:t>
            </w:r>
          </w:p>
        </w:tc>
        <w:tc>
          <w:tcPr>
            <w:tcW w:w="1005" w:type="dxa"/>
            <w:tcBorders>
              <w:left w:val="single" w:sz="4" w:space="0" w:color="000000"/>
              <w:bottom w:val="single" w:sz="4" w:space="0" w:color="000000"/>
            </w:tcBorders>
            <w:vAlign w:val="center"/>
          </w:tcPr>
          <w:p>
            <w:pPr>
              <w:pStyle w:val="TableContents"/>
              <w:jc w:val="center"/>
              <w:rPr/>
            </w:pPr>
            <w:r>
              <w:rPr/>
              <w:t>1303 - Rhinolophus hipposideros – Liliac mic cu potcoava</w:t>
            </w:r>
          </w:p>
        </w:tc>
        <w:tc>
          <w:tcPr>
            <w:tcW w:w="1165" w:type="dxa"/>
            <w:tcBorders>
              <w:left w:val="single" w:sz="4" w:space="0" w:color="000000"/>
              <w:bottom w:val="single" w:sz="4" w:space="0" w:color="000000"/>
            </w:tcBorders>
            <w:vAlign w:val="center"/>
          </w:tcPr>
          <w:p>
            <w:pPr>
              <w:pStyle w:val="TableContents"/>
              <w:jc w:val="center"/>
              <w:rPr>
                <w:lang w:val="ro-RO"/>
              </w:rPr>
            </w:pPr>
            <w:r>
              <w:rPr>
                <w:lang w:val="ro-RO"/>
              </w:rPr>
              <w:t>Mărimea populatie</w:t>
            </w:r>
          </w:p>
        </w:tc>
        <w:tc>
          <w:tcPr>
            <w:tcW w:w="1983" w:type="dxa"/>
            <w:tcBorders>
              <w:left w:val="single" w:sz="4" w:space="0" w:color="000000"/>
              <w:bottom w:val="single" w:sz="4" w:space="0" w:color="000000"/>
            </w:tcBorders>
            <w:vAlign w:val="center"/>
          </w:tcPr>
          <w:p>
            <w:pPr>
              <w:pStyle w:val="TableContents"/>
              <w:jc w:val="center"/>
              <w:rPr>
                <w:lang w:val="ro-RO"/>
              </w:rPr>
            </w:pPr>
            <w:r>
              <w:rPr>
                <w:lang w:val="ro-RO"/>
              </w:rPr>
              <w:t>Creșterea animalelor,  exploatarea forestiera fără replantare sau refacere naturala, drumuri, vânătoarea, braconaj, capcane</w:t>
            </w:r>
          </w:p>
        </w:tc>
        <w:tc>
          <w:tcPr>
            <w:tcW w:w="1204" w:type="dxa"/>
            <w:tcBorders>
              <w:left w:val="single" w:sz="4" w:space="0" w:color="000000"/>
              <w:bottom w:val="single" w:sz="4" w:space="0" w:color="000000"/>
            </w:tcBorders>
            <w:vAlign w:val="center"/>
          </w:tcPr>
          <w:p>
            <w:pPr>
              <w:pStyle w:val="TableContents"/>
              <w:jc w:val="center"/>
              <w:rPr>
                <w:lang w:val="ro-RO"/>
              </w:rPr>
            </w:pPr>
            <w:r>
              <w:rPr>
                <w:lang w:val="ro-RO"/>
              </w:rPr>
              <w:t>0 %</w:t>
            </w:r>
          </w:p>
        </w:tc>
        <w:tc>
          <w:tcPr>
            <w:tcW w:w="1205" w:type="dxa"/>
            <w:tcBorders>
              <w:left w:val="single" w:sz="4" w:space="0" w:color="000000"/>
              <w:bottom w:val="single" w:sz="4" w:space="0" w:color="000000"/>
            </w:tcBorders>
            <w:vAlign w:val="center"/>
          </w:tcPr>
          <w:p>
            <w:pPr>
              <w:pStyle w:val="TableContents"/>
              <w:jc w:val="center"/>
              <w:rPr>
                <w:lang w:val="ro-RO"/>
              </w:rPr>
            </w:pPr>
            <w:r>
              <w:rPr>
                <w:lang w:val="ro-RO"/>
              </w:rPr>
              <w:t>nesemnificativ</w:t>
            </w:r>
          </w:p>
        </w:tc>
        <w:tc>
          <w:tcPr>
            <w:tcW w:w="1203" w:type="dxa"/>
            <w:vMerge w:val="continue"/>
            <w:tcBorders>
              <w:left w:val="single" w:sz="4" w:space="0" w:color="000000"/>
              <w:bottom w:val="single" w:sz="4" w:space="0" w:color="000000"/>
              <w:right w:val="single" w:sz="4" w:space="0" w:color="000000"/>
            </w:tcBorders>
            <w:vAlign w:val="center"/>
          </w:tcPr>
          <w:p>
            <w:pPr>
              <w:pStyle w:val="TableContents"/>
              <w:jc w:val="center"/>
              <w:rPr>
                <w:lang w:val="ro-RO"/>
              </w:rPr>
            </w:pPr>
            <w:r>
              <w:rPr>
                <w:lang w:val="ro-RO"/>
              </w:rPr>
            </w:r>
          </w:p>
        </w:tc>
      </w:tr>
    </w:tbl>
    <w:p>
      <w:pPr>
        <w:pStyle w:val="Normal"/>
        <w:jc w:val="both"/>
        <w:rPr>
          <w:bCs/>
          <w:iCs/>
          <w:color w:val="000000"/>
          <w:lang w:val="ro-RO"/>
        </w:rPr>
      </w:pPr>
      <w:r>
        <w:rPr>
          <w:bCs/>
          <w:iCs/>
          <w:color w:val="000000"/>
          <w:lang w:val="ro-RO"/>
        </w:rPr>
      </w:r>
    </w:p>
    <w:p>
      <w:pPr>
        <w:pStyle w:val="Normal"/>
        <w:jc w:val="both"/>
        <w:rPr>
          <w:bCs/>
          <w:iCs/>
          <w:color w:val="000000"/>
          <w:lang w:val="ro-RO"/>
        </w:rPr>
      </w:pPr>
      <w:r>
        <w:rPr>
          <w:bCs/>
          <w:iCs/>
          <w:color w:val="000000"/>
          <w:lang w:val="ro-RO"/>
        </w:rPr>
        <w:t xml:space="preserve">* </w:t>
      </w:r>
      <w:r>
        <w:rPr>
          <w:rFonts w:cs="Times New Roman"/>
          <w:bCs/>
          <w:iCs/>
          <w:color w:val="000000"/>
          <w:sz w:val="24"/>
          <w:szCs w:val="24"/>
          <w:lang w:val="ro-RO"/>
        </w:rPr>
        <w:t>Conform legislaţiei naționale, toate amenajamentele silvice se realizează în baza unor norme</w:t>
      </w:r>
      <w:r>
        <w:rPr>
          <w:rFonts w:cs="Times New Roman"/>
          <w:bCs/>
          <w:iCs/>
          <w:color w:val="000000"/>
          <w:spacing w:val="1"/>
          <w:sz w:val="24"/>
          <w:szCs w:val="24"/>
          <w:lang w:val="ro-RO"/>
        </w:rPr>
        <w:t xml:space="preserve"> </w:t>
      </w:r>
      <w:r>
        <w:rPr>
          <w:rFonts w:cs="Times New Roman"/>
          <w:bCs/>
          <w:iCs/>
          <w:color w:val="000000"/>
          <w:sz w:val="24"/>
          <w:szCs w:val="24"/>
          <w:lang w:val="ro-RO"/>
        </w:rPr>
        <w:t>silvice de amenajare a pădurilor ce stabilesc cadrul în care se stabilesc funcţiile pădurii, respectiv</w:t>
      </w:r>
      <w:r>
        <w:rPr>
          <w:rFonts w:cs="Times New Roman"/>
          <w:bCs/>
          <w:iCs/>
          <w:color w:val="000000"/>
          <w:spacing w:val="1"/>
          <w:sz w:val="24"/>
          <w:szCs w:val="24"/>
          <w:lang w:val="ro-RO"/>
        </w:rPr>
        <w:t xml:space="preserve"> </w:t>
      </w:r>
      <w:r>
        <w:rPr>
          <w:rFonts w:cs="Times New Roman"/>
          <w:bCs/>
          <w:iCs/>
          <w:color w:val="000000"/>
          <w:sz w:val="24"/>
          <w:szCs w:val="24"/>
          <w:lang w:val="ro-RO"/>
        </w:rPr>
        <w:t>obiectivele de protecţie sau producţie. Normele silvice stabilesc de asemenea şi cadrul tehnic în care</w:t>
      </w:r>
      <w:r>
        <w:rPr>
          <w:rFonts w:cs="Times New Roman"/>
          <w:bCs/>
          <w:iCs/>
          <w:color w:val="000000"/>
          <w:spacing w:val="1"/>
          <w:sz w:val="24"/>
          <w:szCs w:val="24"/>
          <w:lang w:val="ro-RO"/>
        </w:rPr>
        <w:t xml:space="preserve"> </w:t>
      </w:r>
      <w:r>
        <w:rPr>
          <w:rFonts w:cs="Times New Roman"/>
          <w:bCs/>
          <w:iCs/>
          <w:color w:val="000000"/>
          <w:sz w:val="24"/>
          <w:szCs w:val="24"/>
          <w:lang w:val="ro-RO"/>
        </w:rPr>
        <w:t>soluţiile tehnice pot fi stabilite.</w:t>
      </w:r>
      <w:r>
        <w:rPr>
          <w:rFonts w:cs="Times New Roman"/>
          <w:bCs/>
          <w:iCs/>
          <w:color w:val="000000"/>
          <w:spacing w:val="1"/>
          <w:sz w:val="24"/>
          <w:szCs w:val="24"/>
          <w:lang w:val="ro-RO"/>
        </w:rPr>
        <w:t xml:space="preserve"> </w:t>
      </w:r>
      <w:r>
        <w:rPr>
          <w:rFonts w:cs="Times New Roman"/>
          <w:bCs/>
          <w:iCs/>
          <w:color w:val="000000"/>
          <w:sz w:val="24"/>
          <w:szCs w:val="24"/>
          <w:lang w:val="ro-RO"/>
        </w:rPr>
        <w:t>În condiţiile</w:t>
      </w:r>
      <w:r>
        <w:rPr>
          <w:rFonts w:cs="Times New Roman"/>
          <w:bCs/>
          <w:iCs/>
          <w:color w:val="000000"/>
          <w:spacing w:val="1"/>
          <w:sz w:val="24"/>
          <w:szCs w:val="24"/>
          <w:lang w:val="ro-RO"/>
        </w:rPr>
        <w:t xml:space="preserve"> </w:t>
      </w:r>
      <w:r>
        <w:rPr>
          <w:rFonts w:cs="Times New Roman"/>
          <w:bCs/>
          <w:iCs/>
          <w:color w:val="000000"/>
          <w:sz w:val="24"/>
          <w:szCs w:val="24"/>
          <w:lang w:val="ro-RO"/>
        </w:rPr>
        <w:t>în</w:t>
      </w:r>
      <w:r>
        <w:rPr>
          <w:rFonts w:cs="Times New Roman"/>
          <w:bCs/>
          <w:iCs/>
          <w:color w:val="000000"/>
          <w:spacing w:val="1"/>
          <w:sz w:val="24"/>
          <w:szCs w:val="24"/>
          <w:lang w:val="ro-RO"/>
        </w:rPr>
        <w:t xml:space="preserve"> </w:t>
      </w:r>
      <w:r>
        <w:rPr>
          <w:rFonts w:cs="Times New Roman"/>
          <w:bCs/>
          <w:iCs/>
          <w:color w:val="000000"/>
          <w:sz w:val="24"/>
          <w:szCs w:val="24"/>
          <w:lang w:val="ro-RO"/>
        </w:rPr>
        <w:t>care amenajamentele</w:t>
      </w:r>
      <w:r>
        <w:rPr>
          <w:rFonts w:cs="Times New Roman"/>
          <w:bCs/>
          <w:iCs/>
          <w:color w:val="000000"/>
          <w:spacing w:val="1"/>
          <w:sz w:val="24"/>
          <w:szCs w:val="24"/>
          <w:lang w:val="ro-RO"/>
        </w:rPr>
        <w:t xml:space="preserve"> </w:t>
      </w:r>
      <w:r>
        <w:rPr>
          <w:rFonts w:cs="Times New Roman"/>
          <w:bCs/>
          <w:iCs/>
          <w:color w:val="000000"/>
          <w:sz w:val="24"/>
          <w:szCs w:val="24"/>
          <w:lang w:val="ro-RO"/>
        </w:rPr>
        <w:t>vecine au</w:t>
      </w:r>
      <w:r>
        <w:rPr>
          <w:rFonts w:cs="Times New Roman"/>
          <w:bCs/>
          <w:iCs/>
          <w:color w:val="000000"/>
          <w:spacing w:val="1"/>
          <w:sz w:val="24"/>
          <w:szCs w:val="24"/>
          <w:lang w:val="ro-RO"/>
        </w:rPr>
        <w:t xml:space="preserve"> </w:t>
      </w:r>
      <w:r>
        <w:rPr>
          <w:rFonts w:cs="Times New Roman"/>
          <w:bCs/>
          <w:iCs/>
          <w:color w:val="000000"/>
          <w:sz w:val="24"/>
          <w:szCs w:val="24"/>
          <w:lang w:val="ro-RO"/>
        </w:rPr>
        <w:t>fost</w:t>
      </w:r>
      <w:r>
        <w:rPr>
          <w:rFonts w:cs="Times New Roman"/>
          <w:bCs/>
          <w:iCs/>
          <w:color w:val="000000"/>
          <w:spacing w:val="1"/>
          <w:sz w:val="24"/>
          <w:szCs w:val="24"/>
          <w:lang w:val="ro-RO"/>
        </w:rPr>
        <w:t xml:space="preserve"> </w:t>
      </w:r>
      <w:r>
        <w:rPr>
          <w:rFonts w:cs="Times New Roman"/>
          <w:bCs/>
          <w:iCs/>
          <w:color w:val="000000"/>
          <w:sz w:val="24"/>
          <w:szCs w:val="24"/>
          <w:lang w:val="ro-RO"/>
        </w:rPr>
        <w:t>realizate</w:t>
      </w:r>
      <w:r>
        <w:rPr>
          <w:rFonts w:cs="Times New Roman"/>
          <w:bCs/>
          <w:iCs/>
          <w:color w:val="000000"/>
          <w:spacing w:val="1"/>
          <w:sz w:val="24"/>
          <w:szCs w:val="24"/>
          <w:lang w:val="ro-RO"/>
        </w:rPr>
        <w:t xml:space="preserve"> </w:t>
      </w:r>
      <w:r>
        <w:rPr>
          <w:rFonts w:cs="Times New Roman"/>
          <w:bCs/>
          <w:iCs/>
          <w:color w:val="000000"/>
          <w:sz w:val="24"/>
          <w:szCs w:val="24"/>
          <w:lang w:val="ro-RO"/>
        </w:rPr>
        <w:t>în</w:t>
      </w:r>
      <w:r>
        <w:rPr>
          <w:rFonts w:cs="Times New Roman"/>
          <w:bCs/>
          <w:iCs/>
          <w:color w:val="000000"/>
          <w:spacing w:val="1"/>
          <w:sz w:val="24"/>
          <w:szCs w:val="24"/>
          <w:lang w:val="ro-RO"/>
        </w:rPr>
        <w:t xml:space="preserve"> </w:t>
      </w:r>
      <w:r>
        <w:rPr>
          <w:rFonts w:cs="Times New Roman"/>
          <w:bCs/>
          <w:iCs/>
          <w:color w:val="000000"/>
          <w:sz w:val="24"/>
          <w:szCs w:val="24"/>
          <w:lang w:val="ro-RO"/>
        </w:rPr>
        <w:t>conformitate cu normele tehnice</w:t>
      </w:r>
      <w:r>
        <w:rPr>
          <w:rFonts w:cs="Times New Roman"/>
          <w:bCs/>
          <w:iCs/>
          <w:color w:val="000000"/>
          <w:spacing w:val="1"/>
          <w:sz w:val="24"/>
          <w:szCs w:val="24"/>
          <w:lang w:val="ro-RO"/>
        </w:rPr>
        <w:t xml:space="preserve"> </w:t>
      </w:r>
      <w:r>
        <w:rPr>
          <w:rFonts w:cs="Times New Roman"/>
          <w:bCs/>
          <w:iCs/>
          <w:color w:val="000000"/>
          <w:sz w:val="24"/>
          <w:szCs w:val="24"/>
          <w:lang w:val="ro-RO"/>
        </w:rPr>
        <w:t>şi ţinând cont de realităţile existente</w:t>
      </w:r>
      <w:r>
        <w:rPr>
          <w:rFonts w:cs="Times New Roman"/>
          <w:bCs/>
          <w:iCs/>
          <w:color w:val="000000"/>
          <w:spacing w:val="1"/>
          <w:sz w:val="24"/>
          <w:szCs w:val="24"/>
          <w:lang w:val="ro-RO"/>
        </w:rPr>
        <w:t xml:space="preserve"> </w:t>
      </w:r>
      <w:r>
        <w:rPr>
          <w:rFonts w:cs="Times New Roman"/>
          <w:bCs/>
          <w:iCs/>
          <w:color w:val="000000"/>
          <w:sz w:val="24"/>
          <w:szCs w:val="24"/>
          <w:lang w:val="ro-RO"/>
        </w:rPr>
        <w:t>în teren, putem estima că</w:t>
      </w:r>
      <w:r>
        <w:rPr>
          <w:rFonts w:cs="Times New Roman"/>
          <w:bCs/>
          <w:iCs/>
          <w:color w:val="000000"/>
          <w:spacing w:val="1"/>
          <w:sz w:val="24"/>
          <w:szCs w:val="24"/>
          <w:lang w:val="ro-RO"/>
        </w:rPr>
        <w:t xml:space="preserve"> </w:t>
      </w:r>
      <w:r>
        <w:rPr>
          <w:rFonts w:cs="Times New Roman"/>
          <w:bCs/>
          <w:i/>
          <w:iCs/>
          <w:color w:val="000000"/>
          <w:sz w:val="24"/>
          <w:szCs w:val="24"/>
          <w:lang w:val="ro-RO"/>
        </w:rPr>
        <w:t>impactul</w:t>
      </w:r>
      <w:r>
        <w:rPr>
          <w:rFonts w:cs="Times New Roman"/>
          <w:bCs/>
          <w:i/>
          <w:iCs/>
          <w:color w:val="000000"/>
          <w:spacing w:val="1"/>
          <w:sz w:val="24"/>
          <w:szCs w:val="24"/>
          <w:lang w:val="ro-RO"/>
        </w:rPr>
        <w:t xml:space="preserve"> </w:t>
      </w:r>
      <w:r>
        <w:rPr>
          <w:rFonts w:cs="Times New Roman"/>
          <w:bCs/>
          <w:i/>
          <w:iCs/>
          <w:color w:val="000000"/>
          <w:sz w:val="24"/>
          <w:szCs w:val="24"/>
          <w:lang w:val="ro-RO"/>
        </w:rPr>
        <w:t>cumulat</w:t>
      </w:r>
      <w:r>
        <w:rPr>
          <w:rFonts w:cs="Times New Roman"/>
          <w:bCs/>
          <w:i/>
          <w:iCs/>
          <w:color w:val="000000"/>
          <w:spacing w:val="1"/>
          <w:sz w:val="24"/>
          <w:szCs w:val="24"/>
          <w:lang w:val="ro-RO"/>
        </w:rPr>
        <w:t xml:space="preserve"> </w:t>
      </w:r>
      <w:r>
        <w:rPr>
          <w:rFonts w:cs="Times New Roman"/>
          <w:bCs/>
          <w:iCs/>
          <w:color w:val="000000"/>
          <w:sz w:val="24"/>
          <w:szCs w:val="24"/>
          <w:lang w:val="ro-RO"/>
        </w:rPr>
        <w:t>al</w:t>
      </w:r>
      <w:r>
        <w:rPr>
          <w:rFonts w:cs="Times New Roman"/>
          <w:bCs/>
          <w:iCs/>
          <w:color w:val="000000"/>
          <w:spacing w:val="1"/>
          <w:sz w:val="24"/>
          <w:szCs w:val="24"/>
          <w:lang w:val="ro-RO"/>
        </w:rPr>
        <w:t xml:space="preserve"> </w:t>
      </w:r>
      <w:r>
        <w:rPr>
          <w:rFonts w:cs="Times New Roman"/>
          <w:bCs/>
          <w:iCs/>
          <w:color w:val="000000"/>
          <w:sz w:val="24"/>
          <w:szCs w:val="24"/>
          <w:lang w:val="ro-RO"/>
        </w:rPr>
        <w:t>acestor</w:t>
      </w:r>
      <w:r>
        <w:rPr>
          <w:rFonts w:cs="Times New Roman"/>
          <w:bCs/>
          <w:iCs/>
          <w:color w:val="000000"/>
          <w:spacing w:val="1"/>
          <w:sz w:val="24"/>
          <w:szCs w:val="24"/>
          <w:lang w:val="ro-RO"/>
        </w:rPr>
        <w:t xml:space="preserve"> </w:t>
      </w:r>
      <w:r>
        <w:rPr>
          <w:rFonts w:cs="Times New Roman"/>
          <w:bCs/>
          <w:iCs/>
          <w:color w:val="000000"/>
          <w:sz w:val="24"/>
          <w:szCs w:val="24"/>
          <w:lang w:val="ro-RO"/>
        </w:rPr>
        <w:t>amenajamente</w:t>
      </w:r>
      <w:r>
        <w:rPr>
          <w:rFonts w:cs="Times New Roman"/>
          <w:bCs/>
          <w:iCs/>
          <w:color w:val="000000"/>
          <w:spacing w:val="1"/>
          <w:sz w:val="24"/>
          <w:szCs w:val="24"/>
          <w:lang w:val="ro-RO"/>
        </w:rPr>
        <w:t xml:space="preserve"> </w:t>
      </w:r>
      <w:r>
        <w:rPr>
          <w:rFonts w:cs="Times New Roman"/>
          <w:bCs/>
          <w:iCs/>
          <w:color w:val="000000"/>
          <w:sz w:val="24"/>
          <w:szCs w:val="24"/>
          <w:lang w:val="ro-RO"/>
        </w:rPr>
        <w:t>asupra</w:t>
      </w:r>
      <w:r>
        <w:rPr>
          <w:rFonts w:cs="Times New Roman"/>
          <w:bCs/>
          <w:iCs/>
          <w:color w:val="000000"/>
          <w:spacing w:val="1"/>
          <w:sz w:val="24"/>
          <w:szCs w:val="24"/>
          <w:lang w:val="ro-RO"/>
        </w:rPr>
        <w:t xml:space="preserve"> </w:t>
      </w:r>
      <w:r>
        <w:rPr>
          <w:rFonts w:cs="Times New Roman"/>
          <w:bCs/>
          <w:iCs/>
          <w:color w:val="000000"/>
          <w:sz w:val="24"/>
          <w:szCs w:val="24"/>
          <w:lang w:val="ro-RO"/>
        </w:rPr>
        <w:t>integrităţii</w:t>
      </w:r>
      <w:r>
        <w:rPr>
          <w:rFonts w:cs="Times New Roman"/>
          <w:bCs/>
          <w:iCs/>
          <w:color w:val="000000"/>
          <w:spacing w:val="1"/>
          <w:sz w:val="24"/>
          <w:szCs w:val="24"/>
          <w:lang w:val="ro-RO"/>
        </w:rPr>
        <w:t xml:space="preserve"> </w:t>
      </w:r>
      <w:r>
        <w:rPr>
          <w:rFonts w:cs="Times New Roman"/>
          <w:bCs/>
          <w:iCs/>
          <w:color w:val="000000"/>
          <w:sz w:val="24"/>
          <w:szCs w:val="24"/>
          <w:lang w:val="ro-RO"/>
        </w:rPr>
        <w:t>ariilor</w:t>
      </w:r>
      <w:r>
        <w:rPr>
          <w:rFonts w:cs="Times New Roman"/>
          <w:bCs/>
          <w:iCs/>
          <w:color w:val="000000"/>
          <w:spacing w:val="1"/>
          <w:sz w:val="24"/>
          <w:szCs w:val="24"/>
          <w:lang w:val="ro-RO"/>
        </w:rPr>
        <w:t xml:space="preserve"> </w:t>
      </w:r>
      <w:r>
        <w:rPr>
          <w:rFonts w:cs="Times New Roman"/>
          <w:bCs/>
          <w:iCs/>
          <w:color w:val="000000"/>
          <w:sz w:val="24"/>
          <w:szCs w:val="24"/>
          <w:lang w:val="ro-RO"/>
        </w:rPr>
        <w:t>protejate</w:t>
      </w:r>
      <w:r>
        <w:rPr>
          <w:rFonts w:cs="Times New Roman"/>
          <w:bCs/>
          <w:iCs/>
          <w:color w:val="000000"/>
          <w:spacing w:val="1"/>
          <w:sz w:val="24"/>
          <w:szCs w:val="24"/>
          <w:lang w:val="ro-RO"/>
        </w:rPr>
        <w:t xml:space="preserve"> </w:t>
      </w:r>
      <w:r>
        <w:rPr>
          <w:rFonts w:cs="Times New Roman"/>
          <w:bCs/>
          <w:iCs/>
          <w:color w:val="000000"/>
          <w:sz w:val="24"/>
          <w:szCs w:val="24"/>
          <w:lang w:val="ro-RO"/>
        </w:rPr>
        <w:t>este</w:t>
      </w:r>
      <w:r>
        <w:rPr>
          <w:rFonts w:cs="Times New Roman"/>
          <w:bCs/>
          <w:iCs/>
          <w:color w:val="000000"/>
          <w:spacing w:val="1"/>
          <w:sz w:val="24"/>
          <w:szCs w:val="24"/>
          <w:lang w:val="ro-RO"/>
        </w:rPr>
        <w:t xml:space="preserve"> </w:t>
      </w:r>
      <w:r>
        <w:rPr>
          <w:rFonts w:cs="Times New Roman"/>
          <w:bCs/>
          <w:iCs/>
          <w:color w:val="000000"/>
          <w:sz w:val="24"/>
          <w:szCs w:val="24"/>
          <w:lang w:val="ro-RO"/>
        </w:rPr>
        <w:t>de</w:t>
      </w:r>
      <w:r>
        <w:rPr>
          <w:rFonts w:cs="Times New Roman"/>
          <w:bCs/>
          <w:iCs/>
          <w:color w:val="000000"/>
          <w:spacing w:val="1"/>
          <w:sz w:val="24"/>
          <w:szCs w:val="24"/>
          <w:lang w:val="ro-RO"/>
        </w:rPr>
        <w:t xml:space="preserve"> </w:t>
      </w:r>
      <w:r>
        <w:rPr>
          <w:rFonts w:cs="Times New Roman"/>
          <w:bCs/>
          <w:iCs/>
          <w:color w:val="000000"/>
          <w:sz w:val="24"/>
          <w:szCs w:val="24"/>
          <w:lang w:val="ro-RO"/>
        </w:rPr>
        <w:t>asemenea</w:t>
      </w:r>
      <w:r>
        <w:rPr>
          <w:rFonts w:cs="Times New Roman"/>
          <w:bCs/>
          <w:iCs/>
          <w:color w:val="000000"/>
          <w:spacing w:val="1"/>
          <w:sz w:val="24"/>
          <w:szCs w:val="24"/>
          <w:lang w:val="ro-RO"/>
        </w:rPr>
        <w:t xml:space="preserve"> </w:t>
      </w:r>
      <w:r>
        <w:rPr>
          <w:rFonts w:cs="Times New Roman"/>
          <w:bCs/>
          <w:i/>
          <w:iCs/>
          <w:color w:val="000000"/>
          <w:sz w:val="24"/>
          <w:szCs w:val="24"/>
          <w:lang w:val="ro-RO"/>
        </w:rPr>
        <w:t>nesemnificativ</w:t>
      </w:r>
      <w:r>
        <w:rPr>
          <w:rFonts w:cs="Times New Roman"/>
          <w:bCs/>
          <w:iCs/>
          <w:color w:val="000000"/>
          <w:sz w:val="24"/>
          <w:szCs w:val="24"/>
          <w:lang w:val="ro-RO"/>
        </w:rPr>
        <w:t>.</w:t>
      </w:r>
    </w:p>
    <w:p>
      <w:pPr>
        <w:pStyle w:val="Normal"/>
        <w:jc w:val="both"/>
        <w:rPr>
          <w:bCs/>
          <w:iCs/>
          <w:color w:val="000000"/>
          <w:lang w:val="ro-RO"/>
        </w:rPr>
      </w:pPr>
      <w:r>
        <w:rPr>
          <w:bCs/>
          <w:iCs/>
          <w:color w:val="000000"/>
          <w:lang w:val="ro-RO"/>
        </w:rPr>
      </w:r>
    </w:p>
    <w:p>
      <w:pPr>
        <w:pStyle w:val="Normal"/>
        <w:jc w:val="both"/>
        <w:rPr>
          <w:bCs/>
          <w:iCs/>
          <w:color w:val="000000"/>
          <w:lang w:val="ro-RO"/>
        </w:rPr>
      </w:pPr>
      <w:r>
        <w:rPr>
          <w:bCs/>
          <w:iCs/>
          <w:color w:val="000000"/>
          <w:lang w:val="ro-RO"/>
        </w:rPr>
      </w:r>
    </w:p>
    <w:p>
      <w:pPr>
        <w:pStyle w:val="Normal"/>
        <w:jc w:val="both"/>
        <w:rPr>
          <w:bCs/>
          <w:iCs/>
          <w:color w:val="000000"/>
          <w:lang w:val="ro-RO"/>
        </w:rPr>
      </w:pPr>
      <w:r>
        <w:rPr>
          <w:bCs/>
          <w:iCs/>
          <w:color w:val="000000"/>
          <w:lang w:val="ro-RO"/>
        </w:rPr>
      </w:r>
    </w:p>
    <w:p>
      <w:pPr>
        <w:pStyle w:val="Heading2"/>
        <w:numPr>
          <w:ilvl w:val="1"/>
          <w:numId w:val="2"/>
        </w:numPr>
        <w:ind w:left="260" w:hanging="0"/>
        <w:rPr/>
      </w:pPr>
      <w:bookmarkStart w:id="26" w:name="_Toc171938308"/>
      <w:r>
        <w:rPr/>
        <w:t>E.2.  Identificarea incertitudinilor</w:t>
      </w:r>
      <w:bookmarkEnd w:id="26"/>
    </w:p>
    <w:p>
      <w:pPr>
        <w:pStyle w:val="Normal"/>
        <w:rPr>
          <w:color w:val="FF0000"/>
          <w:lang w:val="ro-RO"/>
        </w:rPr>
      </w:pPr>
      <w:r>
        <w:rPr>
          <w:color w:val="FF0000"/>
          <w:lang w:val="ro-RO"/>
        </w:rPr>
      </w:r>
    </w:p>
    <w:p>
      <w:pPr>
        <w:pStyle w:val="Normal"/>
        <w:ind w:firstLine="720"/>
        <w:jc w:val="both"/>
        <w:rPr/>
      </w:pPr>
      <w:r>
        <w:rPr/>
        <w:t xml:space="preserve">În procesul de analiză al Amenajamentelor U.P. </w:t>
      </w:r>
      <w:r>
        <w:rPr>
          <w:lang w:eastAsia="en-US"/>
        </w:rPr>
        <w:t>IV Hășmaș</w:t>
      </w:r>
      <w:r>
        <w:rPr>
          <w:b/>
          <w:lang w:eastAsia="en-US"/>
        </w:rPr>
        <w:t xml:space="preserve"> </w:t>
      </w:r>
      <w:r>
        <w:rPr>
          <w:bCs/>
        </w:rPr>
        <w:t>și U.P. V Groșeni</w:t>
      </w:r>
      <w:r>
        <w:rPr/>
        <w:t xml:space="preserve">, </w:t>
      </w:r>
      <w:r>
        <w:rPr>
          <w:b/>
          <w:bCs/>
        </w:rPr>
        <w:t>NU</w:t>
      </w:r>
      <w:r>
        <w:rPr/>
        <w:t xml:space="preserve"> s-au identificat incertitudini pentru fiecare componentă a evaluării respectiv: </w:t>
      </w:r>
      <w:r>
        <w:rPr>
          <w:rFonts w:eastAsia="Calibri"/>
        </w:rPr>
        <w:t>descrierea PP, alte PP-uri cu posibil impact cumulativ, presiuni și amenințări, localizarea habitatului/speciei față de PP, parametrii obiectivelor de conservare, starea de conservare actuală, valoarea țintă a parametrului, posibilitatea afectării parametrului de către PP și cuantificarea impacturilor.</w:t>
      </w:r>
    </w:p>
    <w:p>
      <w:pPr>
        <w:pStyle w:val="Normal"/>
        <w:ind w:firstLine="720"/>
        <w:jc w:val="both"/>
        <w:rPr/>
      </w:pPr>
      <w:r>
        <w:rPr/>
        <w:t xml:space="preserve">Implementarea amenajamentelor silvice nu produc efecte a habitatelor naturale și/sau în zonele de hrănire/reproducere/migraţie a speciilor de interes comunitar ori alte perturbări ale speciilor. Lucrările prevăzute în amenajamentele silvice au la bază conceptul gestionării durabile a pădurilor în scopul realizării obiectivelor complexe ecologice, sociale și economice. Privind modul de aplicare ale acestora, lucrările silvotehnice se desfășoară pe mai multe etape, pe suprafețe mici de teren, care permit dispersarea speciilor în habitatele vecine, astfel se produce numai o transformare temporară în structura pădurii nefiind afectate habitatele speciilor sau valorile țintă ale parametrilor. </w:t>
      </w:r>
    </w:p>
    <w:p>
      <w:pPr>
        <w:pStyle w:val="Normal"/>
        <w:ind w:hanging="0"/>
        <w:jc w:val="both"/>
        <w:rPr>
          <w:color w:val="FF0000"/>
          <w:sz w:val="16"/>
          <w:szCs w:val="16"/>
        </w:rPr>
      </w:pPr>
      <w:r>
        <w:rPr>
          <w:color w:val="FF0000"/>
          <w:sz w:val="16"/>
          <w:szCs w:val="16"/>
        </w:rPr>
      </w:r>
      <w:r>
        <w:br w:type="page"/>
      </w:r>
    </w:p>
    <w:p>
      <w:pPr>
        <w:pStyle w:val="Normal"/>
        <w:ind w:hanging="0"/>
        <w:jc w:val="both"/>
        <w:rPr>
          <w:color w:val="FF0000"/>
          <w:sz w:val="16"/>
          <w:szCs w:val="16"/>
        </w:rPr>
      </w:pPr>
      <w:r>
        <w:rPr>
          <w:color w:val="FF0000"/>
          <w:sz w:val="16"/>
          <w:szCs w:val="16"/>
        </w:rPr>
      </w:r>
    </w:p>
    <w:p>
      <w:pPr>
        <w:pStyle w:val="Normal"/>
        <w:ind w:hanging="0"/>
        <w:jc w:val="center"/>
        <w:rPr>
          <w:color w:val="000000"/>
          <w:lang w:val="ro-RO"/>
        </w:rPr>
      </w:pPr>
      <w:r>
        <w:rPr>
          <w:color w:val="000000"/>
          <w:lang w:val="ro-RO"/>
        </w:rPr>
        <w:t>Incertitudini identificate</w:t>
      </w:r>
    </w:p>
    <w:p>
      <w:pPr>
        <w:pStyle w:val="Normal"/>
        <w:ind w:hanging="0"/>
        <w:jc w:val="right"/>
        <w:rPr>
          <w:color w:val="000000"/>
          <w:lang w:val="ro-RO"/>
        </w:rPr>
      </w:pPr>
      <w:r>
        <w:rPr>
          <w:color w:val="000000"/>
          <w:lang w:val="ro-RO"/>
        </w:rPr>
        <w:t>Tabelul nr. 7</w:t>
      </w:r>
    </w:p>
    <w:tbl>
      <w:tblPr>
        <w:tblW w:w="9644" w:type="dxa"/>
        <w:jc w:val="left"/>
        <w:tblInd w:w="0" w:type="dxa"/>
        <w:tblCellMar>
          <w:top w:w="55" w:type="dxa"/>
          <w:left w:w="55" w:type="dxa"/>
          <w:bottom w:w="55" w:type="dxa"/>
          <w:right w:w="55" w:type="dxa"/>
        </w:tblCellMar>
      </w:tblPr>
      <w:tblGrid>
        <w:gridCol w:w="4822"/>
        <w:gridCol w:w="4821"/>
      </w:tblGrid>
      <w:tr>
        <w:trPr/>
        <w:tc>
          <w:tcPr>
            <w:tcW w:w="4822" w:type="dxa"/>
            <w:tcBorders>
              <w:top w:val="single" w:sz="4" w:space="0" w:color="000000"/>
              <w:left w:val="single" w:sz="4" w:space="0" w:color="000000"/>
              <w:bottom w:val="single" w:sz="4" w:space="0" w:color="000000"/>
            </w:tcBorders>
          </w:tcPr>
          <w:p>
            <w:pPr>
              <w:pStyle w:val="TableContents"/>
              <w:jc w:val="center"/>
              <w:rPr>
                <w:b/>
                <w:b/>
                <w:bCs/>
                <w:lang w:val="ro-RO"/>
              </w:rPr>
            </w:pPr>
            <w:r>
              <w:rPr>
                <w:b/>
                <w:bCs/>
                <w:lang w:val="ro-RO"/>
              </w:rPr>
              <w:t>Componenta</w:t>
            </w:r>
          </w:p>
        </w:tc>
        <w:tc>
          <w:tcPr>
            <w:tcW w:w="4821" w:type="dxa"/>
            <w:tcBorders>
              <w:top w:val="single" w:sz="4" w:space="0" w:color="000000"/>
              <w:left w:val="single" w:sz="4" w:space="0" w:color="000000"/>
              <w:bottom w:val="single" w:sz="4" w:space="0" w:color="000000"/>
              <w:right w:val="single" w:sz="4" w:space="0" w:color="000000"/>
            </w:tcBorders>
          </w:tcPr>
          <w:p>
            <w:pPr>
              <w:pStyle w:val="TableContents"/>
              <w:jc w:val="center"/>
              <w:rPr>
                <w:b/>
                <w:b/>
                <w:bCs/>
                <w:lang w:val="ro-RO"/>
              </w:rPr>
            </w:pPr>
            <w:r>
              <w:rPr>
                <w:b/>
                <w:bCs/>
                <w:lang w:val="ro-RO"/>
              </w:rPr>
              <w:t>Incertitudini identificate</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Descrierea PP</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 xml:space="preserve">Nu au fost identificate incertitudini avand in vedere ca </w:t>
            </w:r>
            <w:r>
              <w:rPr>
                <w:rFonts w:eastAsia="Times New Roman" w:cs="Times New Roman"/>
                <w:kern w:val="0"/>
                <w:sz w:val="24"/>
                <w:szCs w:val="24"/>
                <w:lang w:val="ro-RO"/>
                <w14:ligatures w14:val="none"/>
              </w:rPr>
              <w:t xml:space="preserve">se cunoaște cu exactitate atât amplasamentul lucrărilor silvice din cadrul </w:t>
            </w:r>
            <w:r>
              <w:rPr>
                <w:rFonts w:eastAsia="Times New Roman" w:cs="Times New Roman"/>
                <w:color w:val="auto"/>
                <w:kern w:val="0"/>
                <w:sz w:val="24"/>
                <w:szCs w:val="24"/>
                <w:lang w:val="ro-RO" w:eastAsia="zh-CN" w:bidi="ar-SA"/>
                <w14:ligatures w14:val="none"/>
              </w:rPr>
              <w:t>PP</w:t>
            </w:r>
            <w:r>
              <w:rPr>
                <w:rFonts w:eastAsia="Times New Roman" w:cs="Times New Roman"/>
                <w:kern w:val="0"/>
                <w:sz w:val="24"/>
                <w:szCs w:val="24"/>
                <w:lang w:val="ro-RO"/>
                <w14:ligatures w14:val="none"/>
              </w:rPr>
              <w:t xml:space="preserve"> cât și suprafețele de parcurs cu lucrări sau volumele de material lemnos ce urmează a fi exploatate. Acestea </w:t>
            </w:r>
            <w:r>
              <w:rPr>
                <w:rFonts w:eastAsia="Times New Roman" w:cs="Times New Roman"/>
                <w:color w:val="auto"/>
                <w:kern w:val="0"/>
                <w:sz w:val="24"/>
                <w:szCs w:val="24"/>
                <w:lang w:val="ro-RO" w:eastAsia="zh-CN" w:bidi="ar-SA"/>
                <w14:ligatures w14:val="none"/>
              </w:rPr>
              <w:t>sunt</w:t>
            </w:r>
            <w:r>
              <w:rPr>
                <w:rFonts w:eastAsia="Times New Roman" w:cs="Times New Roman"/>
                <w:kern w:val="0"/>
                <w:sz w:val="24"/>
                <w:szCs w:val="24"/>
                <w:lang w:val="ro-RO"/>
                <w14:ligatures w14:val="none"/>
              </w:rPr>
              <w:t xml:space="preserve"> stabilite în cadrul Conferinței a II a de amenajare.</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Alte PP</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sz w:val="24"/>
                <w:szCs w:val="24"/>
              </w:rPr>
            </w:pPr>
            <w:r>
              <w:rPr>
                <w:rFonts w:eastAsia="Times New Roman" w:cs="Times New Roman"/>
                <w:kern w:val="0"/>
                <w:sz w:val="24"/>
                <w:szCs w:val="24"/>
                <w:lang w:val="en-US"/>
                <w14:ligatures w14:val="none"/>
              </w:rPr>
              <w:t>Nu au fost identificate incertitudini i</w:t>
            </w:r>
            <w:r>
              <w:rPr>
                <w:rFonts w:eastAsia="Times New Roman" w:cs="Times New Roman"/>
                <w:kern w:val="0"/>
                <w:sz w:val="24"/>
                <w:szCs w:val="24"/>
                <w:lang w:val="ro-RO"/>
                <w14:ligatures w14:val="none"/>
              </w:rPr>
              <w:t xml:space="preserve">n vecinătatea acestor lucrări silvice </w:t>
            </w:r>
            <w:r>
              <w:rPr>
                <w:rFonts w:eastAsia="Times New Roman" w:cs="Times New Roman"/>
                <w:kern w:val="0"/>
                <w:sz w:val="24"/>
                <w:szCs w:val="24"/>
                <w:lang w:val="en-US"/>
                <w14:ligatures w14:val="none"/>
              </w:rPr>
              <w:t xml:space="preserve">ce </w:t>
            </w:r>
            <w:r>
              <w:rPr>
                <w:rFonts w:eastAsia="Times New Roman" w:cs="Times New Roman"/>
                <w:kern w:val="0"/>
                <w:sz w:val="24"/>
                <w:szCs w:val="24"/>
                <w:lang w:val="ro-RO"/>
                <w14:ligatures w14:val="none"/>
              </w:rPr>
              <w:t>se vor implementa alte amenajamente silvice.</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Presiuni şi ameninţări identificate pentru ANPIC</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pPr>
            <w:r>
              <w:rPr>
                <w:rFonts w:eastAsia="Times New Roman" w:cs="Times New Roman"/>
                <w:kern w:val="0"/>
                <w:sz w:val="24"/>
                <w:szCs w:val="24"/>
                <w:lang w:val="ro-RO"/>
                <w14:ligatures w14:val="none"/>
              </w:rPr>
              <w:t xml:space="preserve">Aria naturală protejată suprapusă </w:t>
            </w:r>
            <w:r>
              <w:rPr>
                <w:rFonts w:eastAsia="Times New Roman" w:cs="Times New Roman"/>
                <w:kern w:val="0"/>
                <w:sz w:val="24"/>
                <w:szCs w:val="24"/>
                <w:lang w:val="en-US"/>
                <w14:ligatures w14:val="none"/>
              </w:rPr>
              <w:t xml:space="preserve">partial </w:t>
            </w:r>
            <w:r>
              <w:rPr>
                <w:rFonts w:eastAsia="Times New Roman" w:cs="Times New Roman"/>
                <w:kern w:val="0"/>
                <w:sz w:val="24"/>
                <w:szCs w:val="24"/>
                <w:lang w:val="ro-RO"/>
                <w14:ligatures w14:val="none"/>
              </w:rPr>
              <w:t xml:space="preserve">cu </w:t>
            </w:r>
            <w:r>
              <w:rPr>
                <w:rFonts w:eastAsia="Times New Roman" w:cs="Times New Roman"/>
                <w:color w:val="auto"/>
                <w:kern w:val="0"/>
                <w:sz w:val="24"/>
                <w:szCs w:val="24"/>
                <w:lang w:val="ro-RO" w:eastAsia="zh-CN" w:bidi="ar-SA"/>
                <w14:ligatures w14:val="none"/>
              </w:rPr>
              <w:t>PP nu</w:t>
            </w:r>
            <w:r>
              <w:rPr>
                <w:rFonts w:eastAsia="Times New Roman" w:cs="Times New Roman"/>
                <w:kern w:val="0"/>
                <w:sz w:val="24"/>
                <w:szCs w:val="24"/>
                <w:lang w:val="ro-RO"/>
                <w14:ligatures w14:val="none"/>
              </w:rPr>
              <w:t xml:space="preserve"> are plan de management </w:t>
            </w:r>
            <w:r>
              <w:rPr>
                <w:rFonts w:eastAsia="Times New Roman" w:cs="Times New Roman"/>
                <w:kern w:val="0"/>
                <w:sz w:val="24"/>
                <w:szCs w:val="24"/>
                <w:lang w:val="en-US"/>
                <w14:ligatures w14:val="none"/>
              </w:rPr>
              <w:t xml:space="preserve">aprobat prin acte legislative, </w:t>
            </w:r>
            <w:r>
              <w:rPr>
                <w:rFonts w:eastAsia="Times New Roman" w:cs="Times New Roman"/>
                <w:kern w:val="0"/>
                <w:sz w:val="24"/>
                <w:szCs w:val="24"/>
                <w:lang w:val="ro-RO"/>
                <w14:ligatures w14:val="none"/>
              </w:rPr>
              <w:t xml:space="preserve">unde </w:t>
            </w:r>
            <w:r>
              <w:rPr>
                <w:rFonts w:eastAsia="Times New Roman" w:cs="Times New Roman"/>
                <w:kern w:val="0"/>
                <w:sz w:val="24"/>
                <w:szCs w:val="24"/>
                <w:lang w:val="en-US"/>
                <w14:ligatures w14:val="none"/>
              </w:rPr>
              <w:t xml:space="preserve">sa fi </w:t>
            </w:r>
            <w:r>
              <w:rPr>
                <w:rFonts w:eastAsia="Times New Roman" w:cs="Times New Roman"/>
                <w:kern w:val="0"/>
                <w:sz w:val="24"/>
                <w:szCs w:val="24"/>
                <w:lang w:val="ro-RO"/>
                <w14:ligatures w14:val="none"/>
              </w:rPr>
              <w:t>fost identificate presiuni și amenințări. Suprafața este de 200 m liniari, respectiv 6 – 8 m liniari aflate în proximitatea limitei fondului forestier supus amenajării.</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Localizarea habitatului/ speciei faţă de PP</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pPr>
            <w:r>
              <w:rPr>
                <w:rFonts w:eastAsia="Times New Roman" w:cs="Times New Roman"/>
                <w:kern w:val="0"/>
                <w:sz w:val="24"/>
                <w:szCs w:val="24"/>
                <w:lang w:val="ro-RO"/>
                <w14:ligatures w14:val="none"/>
              </w:rPr>
              <w:t xml:space="preserve">Aria naturală protejată suprapusă </w:t>
            </w:r>
            <w:r>
              <w:rPr>
                <w:rFonts w:eastAsia="Times New Roman" w:cs="Times New Roman"/>
                <w:kern w:val="0"/>
                <w:sz w:val="24"/>
                <w:szCs w:val="24"/>
                <w:lang w:val="en-US"/>
                <w14:ligatures w14:val="none"/>
              </w:rPr>
              <w:t xml:space="preserve">partial </w:t>
            </w:r>
            <w:r>
              <w:rPr>
                <w:rFonts w:eastAsia="Times New Roman" w:cs="Times New Roman"/>
                <w:kern w:val="0"/>
                <w:sz w:val="24"/>
                <w:szCs w:val="24"/>
                <w:lang w:val="ro-RO"/>
                <w14:ligatures w14:val="none"/>
              </w:rPr>
              <w:t xml:space="preserve">cu </w:t>
            </w:r>
            <w:r>
              <w:rPr>
                <w:rFonts w:eastAsia="Times New Roman" w:cs="Times New Roman"/>
                <w:color w:val="auto"/>
                <w:kern w:val="0"/>
                <w:sz w:val="24"/>
                <w:szCs w:val="24"/>
                <w:lang w:val="ro-RO" w:eastAsia="zh-CN" w:bidi="ar-SA"/>
                <w14:ligatures w14:val="none"/>
              </w:rPr>
              <w:t>PP nu</w:t>
            </w:r>
            <w:r>
              <w:rPr>
                <w:rFonts w:eastAsia="Times New Roman" w:cs="Times New Roman"/>
                <w:kern w:val="0"/>
                <w:sz w:val="24"/>
                <w:szCs w:val="24"/>
                <w:lang w:val="ro-RO"/>
                <w14:ligatures w14:val="none"/>
              </w:rPr>
              <w:t xml:space="preserve"> are plan de management unde sunt prezentate hărți de distribuție ale speciilor și habitatelor, dar are definite și aprobate obiectivele de conservare prin Nota ANANP nr. 7424 / 2021</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Informaţii privind valoarea actuală a parametrilor obiectivelor de conservare</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sz w:val="24"/>
                <w:szCs w:val="24"/>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sz w:val="24"/>
                <w:szCs w:val="24"/>
              </w:rPr>
            </w:pPr>
            <w:r>
              <w:rPr>
                <w:rFonts w:eastAsia="Times New Roman" w:cs="Times New Roman"/>
                <w:kern w:val="0"/>
                <w:sz w:val="24"/>
                <w:szCs w:val="24"/>
                <w:lang w:val="ro-RO"/>
                <w14:ligatures w14:val="none"/>
              </w:rPr>
              <w:t xml:space="preserve">Din analiza obiectivelor de conservare o parte din parametrii nu au valori țintă stabiliți cu exactitate (de ex. Suprafața habitatului / speciei) </w:t>
            </w:r>
            <w:r>
              <w:rPr>
                <w:rFonts w:eastAsia="Times New Roman" w:cs="Times New Roman"/>
                <w:kern w:val="0"/>
                <w:sz w:val="24"/>
                <w:szCs w:val="24"/>
                <w:lang w:val="en-US"/>
                <w14:ligatures w14:val="none"/>
              </w:rPr>
              <w:t>prin Nota ANANP nr. 7424 / 03.12.2021.</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Starea de conservare</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pPr>
            <w:r>
              <w:rPr>
                <w:rFonts w:eastAsia="Times New Roman" w:cs="Times New Roman"/>
                <w:kern w:val="0"/>
                <w:sz w:val="24"/>
                <w:szCs w:val="24"/>
                <w:lang w:val="ro-RO"/>
                <w14:ligatures w14:val="none"/>
              </w:rPr>
              <w:t xml:space="preserve">Aria naturală protejată suprapusă </w:t>
            </w:r>
            <w:r>
              <w:rPr>
                <w:rFonts w:eastAsia="Times New Roman" w:cs="Times New Roman"/>
                <w:kern w:val="0"/>
                <w:sz w:val="24"/>
                <w:szCs w:val="24"/>
                <w:lang w:val="en-US"/>
                <w14:ligatures w14:val="none"/>
              </w:rPr>
              <w:t xml:space="preserve">partial </w:t>
            </w:r>
            <w:r>
              <w:rPr>
                <w:rFonts w:eastAsia="Times New Roman" w:cs="Times New Roman"/>
                <w:kern w:val="0"/>
                <w:sz w:val="24"/>
                <w:szCs w:val="24"/>
                <w:lang w:val="ro-RO"/>
                <w14:ligatures w14:val="none"/>
              </w:rPr>
              <w:t xml:space="preserve">cu </w:t>
            </w:r>
            <w:r>
              <w:rPr>
                <w:rFonts w:eastAsia="Times New Roman" w:cs="Times New Roman"/>
                <w:color w:val="auto"/>
                <w:kern w:val="0"/>
                <w:sz w:val="24"/>
                <w:szCs w:val="24"/>
                <w:lang w:val="ro-RO" w:eastAsia="zh-CN" w:bidi="ar-SA"/>
                <w14:ligatures w14:val="none"/>
              </w:rPr>
              <w:t>PP nu</w:t>
            </w:r>
            <w:r>
              <w:rPr>
                <w:rFonts w:eastAsia="Times New Roman" w:cs="Times New Roman"/>
                <w:kern w:val="0"/>
                <w:sz w:val="24"/>
                <w:szCs w:val="24"/>
                <w:lang w:val="ro-RO"/>
                <w14:ligatures w14:val="none"/>
              </w:rPr>
              <w:t xml:space="preserve"> are plan de management unde este evaluată starea de conservare pentru habitatele si speciile din acestea. </w:t>
            </w:r>
            <w:r>
              <w:rPr>
                <w:rFonts w:eastAsia="Times New Roman" w:cs="Times New Roman"/>
                <w:kern w:val="0"/>
                <w:sz w:val="24"/>
                <w:szCs w:val="24"/>
                <w:lang w:val="en-US"/>
                <w14:ligatures w14:val="none"/>
              </w:rPr>
              <w:t>Starea de conservare este prezentate in Nota ANANP nr. 7424/03.12.2021 si s-a tinut cont de aceasta in elaborarea prezentului memoriu.</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Valoare ţintă parametru</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sz w:val="24"/>
                <w:szCs w:val="24"/>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sz w:val="24"/>
                <w:szCs w:val="24"/>
              </w:rPr>
            </w:pPr>
            <w:r>
              <w:rPr>
                <w:rFonts w:eastAsia="Times New Roman" w:cs="Times New Roman"/>
                <w:kern w:val="0"/>
                <w:sz w:val="24"/>
                <w:szCs w:val="24"/>
                <w:lang w:val="ro-RO"/>
                <w14:ligatures w14:val="none"/>
              </w:rPr>
              <w:t xml:space="preserve">Sunt stabilite valori țintă pentru majoritatea parametriilor din cadrul obiectivelor specifice de conservare, </w:t>
            </w:r>
            <w:r>
              <w:rPr>
                <w:rFonts w:eastAsia="Times New Roman" w:cs="Times New Roman"/>
                <w:kern w:val="0"/>
                <w:sz w:val="24"/>
                <w:szCs w:val="24"/>
                <w:lang w:val="en-US"/>
                <w14:ligatures w14:val="none"/>
              </w:rPr>
              <w:t>prin Nota ANANP nr. 7414/03.12.2024 si s-a tinut cont de aceasta in elaborarea prezentului memoriu.</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Posibilitatea ca parametrul să fie afectat de PP</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pPr>
            <w:r>
              <w:rPr>
                <w:rFonts w:eastAsia="Times New Roman" w:cs="Times New Roman"/>
                <w:kern w:val="0"/>
                <w:sz w:val="24"/>
                <w:szCs w:val="24"/>
                <w:lang w:val="ro-RO"/>
                <w14:ligatures w14:val="none"/>
              </w:rPr>
              <w:t xml:space="preserve">Există posibilitatea ca unii parametrii din cadrul obiectivelor specifice de conservare să fie afectați temporar, dar impactul va fi unul nesemnificativ, deoarece </w:t>
            </w:r>
            <w:r>
              <w:rPr>
                <w:rFonts w:eastAsia="Times New Roman" w:cs="Times New Roman"/>
                <w:color w:val="auto"/>
                <w:kern w:val="0"/>
                <w:sz w:val="24"/>
                <w:szCs w:val="24"/>
                <w:lang w:val="ro-RO" w:eastAsia="zh-CN" w:bidi="ar-SA"/>
                <w14:ligatures w14:val="none"/>
              </w:rPr>
              <w:t>PP</w:t>
            </w:r>
            <w:r>
              <w:rPr>
                <w:rFonts w:eastAsia="Times New Roman" w:cs="Times New Roman"/>
                <w:kern w:val="0"/>
                <w:sz w:val="24"/>
                <w:szCs w:val="24"/>
                <w:lang w:val="ro-RO"/>
                <w14:ligatures w14:val="none"/>
              </w:rPr>
              <w:t xml:space="preserve"> se suprapune doar in procent de sub 1% cu aria naturală protejată.</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Cuantificarea impacturilor</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pPr>
            <w:r>
              <w:rPr>
                <w:rFonts w:eastAsia="Times New Roman" w:cs="Times New Roman"/>
                <w:kern w:val="0"/>
                <w:sz w:val="24"/>
                <w:szCs w:val="24"/>
                <w:lang w:val="en-US"/>
                <w14:ligatures w14:val="none"/>
              </w:rPr>
              <w:t>Nu au fost identificate incertitudini.</w:t>
            </w:r>
          </w:p>
          <w:p>
            <w:pPr>
              <w:pStyle w:val="Normal"/>
              <w:spacing w:lineRule="auto" w:line="240" w:before="0" w:after="0"/>
              <w:rPr/>
            </w:pPr>
            <w:r>
              <w:rPr>
                <w:rFonts w:eastAsia="Times New Roman" w:cs="Times New Roman"/>
                <w:kern w:val="0"/>
                <w:sz w:val="24"/>
                <w:szCs w:val="24"/>
                <w:lang w:val="ro-RO"/>
                <w14:ligatures w14:val="none"/>
              </w:rPr>
              <w:t xml:space="preserve">Având în vedere că </w:t>
            </w:r>
            <w:r>
              <w:rPr>
                <w:rFonts w:eastAsia="Times New Roman" w:cs="Times New Roman"/>
                <w:color w:val="auto"/>
                <w:kern w:val="0"/>
                <w:sz w:val="24"/>
                <w:szCs w:val="24"/>
                <w:lang w:val="ro-RO" w:eastAsia="zh-CN" w:bidi="ar-SA"/>
                <w14:ligatures w14:val="none"/>
              </w:rPr>
              <w:t>PP</w:t>
            </w:r>
            <w:r>
              <w:rPr>
                <w:rFonts w:eastAsia="Times New Roman" w:cs="Times New Roman"/>
                <w:kern w:val="0"/>
                <w:sz w:val="24"/>
                <w:szCs w:val="24"/>
                <w:lang w:val="ro-RO"/>
                <w14:ligatures w14:val="none"/>
              </w:rPr>
              <w:t xml:space="preserve"> se suprapune in procent de sub 1% din suprafață cu ROS</w:t>
            </w:r>
            <w:r>
              <w:rPr>
                <w:rFonts w:eastAsia="Times New Roman" w:cs="Times New Roman"/>
                <w:color w:val="auto"/>
                <w:kern w:val="0"/>
                <w:sz w:val="24"/>
                <w:szCs w:val="24"/>
                <w:lang w:val="ro-RO" w:eastAsia="zh-CN" w:bidi="ar-SA"/>
                <w14:ligatures w14:val="none"/>
              </w:rPr>
              <w:t>CVI0042</w:t>
            </w:r>
            <w:r>
              <w:rPr>
                <w:rFonts w:eastAsia="Times New Roman" w:cs="Times New Roman"/>
                <w:kern w:val="0"/>
                <w:sz w:val="24"/>
                <w:szCs w:val="24"/>
                <w:lang w:val="ro-RO"/>
                <w14:ligatures w14:val="none"/>
              </w:rPr>
              <w:t xml:space="preserve"> </w:t>
            </w:r>
            <w:r>
              <w:rPr>
                <w:rFonts w:eastAsia="Times New Roman" w:cs="Times New Roman"/>
                <w:color w:val="auto"/>
                <w:kern w:val="0"/>
                <w:sz w:val="24"/>
                <w:szCs w:val="24"/>
                <w:lang w:val="ro-RO" w:eastAsia="zh-CN" w:bidi="ar-SA"/>
                <w14:ligatures w14:val="none"/>
              </w:rPr>
              <w:t>Codru Moma</w:t>
            </w:r>
            <w:r>
              <w:rPr>
                <w:rFonts w:eastAsia="Times New Roman" w:cs="Times New Roman"/>
                <w:kern w:val="0"/>
                <w:sz w:val="24"/>
                <w:szCs w:val="24"/>
                <w:lang w:val="ro-RO"/>
                <w14:ligatures w14:val="none"/>
              </w:rPr>
              <w:t xml:space="preserve">, impactul va fi unul nesemnificativ. Totodată suprafața din </w:t>
            </w:r>
            <w:r>
              <w:rPr>
                <w:rFonts w:eastAsia="Times New Roman" w:cs="Times New Roman"/>
                <w:color w:val="auto"/>
                <w:kern w:val="0"/>
                <w:sz w:val="24"/>
                <w:szCs w:val="24"/>
                <w:lang w:val="ro-RO" w:eastAsia="zh-CN" w:bidi="ar-SA"/>
                <w14:ligatures w14:val="none"/>
              </w:rPr>
              <w:t>PP</w:t>
            </w:r>
            <w:r>
              <w:rPr>
                <w:rFonts w:eastAsia="Times New Roman" w:cs="Times New Roman"/>
                <w:kern w:val="0"/>
                <w:sz w:val="24"/>
                <w:szCs w:val="24"/>
                <w:lang w:val="ro-RO"/>
                <w14:ligatures w14:val="none"/>
              </w:rPr>
              <w:t xml:space="preserve"> care se suprapune cu acest Sit Natura 2000 reprezintă 0,01% din suprafața ariei naturale protejate.</w:t>
            </w:r>
          </w:p>
        </w:tc>
      </w:tr>
      <w:tr>
        <w:trPr/>
        <w:tc>
          <w:tcPr>
            <w:tcW w:w="4822" w:type="dxa"/>
            <w:tcBorders>
              <w:left w:val="single" w:sz="4" w:space="0" w:color="000000"/>
              <w:bottom w:val="single" w:sz="4" w:space="0" w:color="000000"/>
            </w:tcBorders>
          </w:tcPr>
          <w:p>
            <w:pPr>
              <w:pStyle w:val="Normal"/>
              <w:spacing w:lineRule="auto" w:line="240" w:before="0" w:after="0"/>
              <w:rPr>
                <w:sz w:val="24"/>
                <w:szCs w:val="24"/>
              </w:rPr>
            </w:pPr>
            <w:r>
              <w:rPr>
                <w:rFonts w:eastAsia="Times New Roman" w:cs="Times New Roman"/>
                <w:kern w:val="0"/>
                <w:sz w:val="24"/>
                <w:szCs w:val="24"/>
                <w:lang w:val="ro-RO"/>
                <w14:ligatures w14:val="none"/>
              </w:rPr>
              <w:t>Altele</w:t>
            </w:r>
          </w:p>
        </w:tc>
        <w:tc>
          <w:tcPr>
            <w:tcW w:w="4821" w:type="dxa"/>
            <w:tcBorders>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Times New Roman" w:cs="Times New Roman"/>
                <w:kern w:val="0"/>
                <w:sz w:val="21"/>
                <w:szCs w:val="21"/>
                <w:lang w:val="ro-RO"/>
                <w14:ligatures w14:val="none"/>
              </w:rPr>
            </w:pPr>
            <w:r>
              <w:rPr>
                <w:rFonts w:eastAsia="Times New Roman" w:cs="Times New Roman"/>
                <w:kern w:val="0"/>
                <w:sz w:val="21"/>
                <w:szCs w:val="21"/>
                <w:lang w:val="ro-RO"/>
                <w14:ligatures w14:val="none"/>
              </w:rPr>
            </w:r>
          </w:p>
        </w:tc>
      </w:tr>
    </w:tbl>
    <w:p>
      <w:pPr>
        <w:pStyle w:val="Heading2"/>
        <w:numPr>
          <w:ilvl w:val="1"/>
          <w:numId w:val="2"/>
        </w:numPr>
        <w:ind w:left="260" w:hanging="0"/>
        <w:rPr/>
      </w:pPr>
      <w:r>
        <w:rPr/>
      </w:r>
    </w:p>
    <w:p>
      <w:pPr>
        <w:pStyle w:val="Heading2"/>
        <w:numPr>
          <w:ilvl w:val="1"/>
          <w:numId w:val="2"/>
        </w:numPr>
        <w:ind w:left="260" w:hanging="0"/>
        <w:rPr/>
      </w:pPr>
      <w:r>
        <w:rPr/>
      </w:r>
    </w:p>
    <w:p>
      <w:pPr>
        <w:pStyle w:val="Heading2"/>
        <w:numPr>
          <w:ilvl w:val="1"/>
          <w:numId w:val="2"/>
        </w:numPr>
        <w:ind w:left="260" w:hanging="0"/>
        <w:rPr/>
      </w:pPr>
      <w:bookmarkStart w:id="27" w:name="_Toc171938309"/>
      <w:r>
        <w:rPr/>
        <w:t>E.3. Concluziile referitoare la descrierea și cuantificarea impacturilor precum și motivele pentru care este sau nu necesară continuarea procedurii cu trecerea la etapa studiului de evaluare adecvată</w:t>
      </w:r>
      <w:bookmarkEnd w:id="27"/>
    </w:p>
    <w:p>
      <w:pPr>
        <w:pStyle w:val="Normal"/>
        <w:rPr>
          <w:color w:val="FF0000"/>
          <w:sz w:val="16"/>
          <w:szCs w:val="16"/>
          <w:lang w:val="ro-RO"/>
        </w:rPr>
      </w:pPr>
      <w:r>
        <w:rPr>
          <w:color w:val="FF0000"/>
          <w:sz w:val="16"/>
          <w:szCs w:val="16"/>
          <w:lang w:val="ro-RO"/>
        </w:rPr>
      </w:r>
    </w:p>
    <w:p>
      <w:pPr>
        <w:pStyle w:val="Normal"/>
        <w:ind w:firstLine="720"/>
        <w:jc w:val="both"/>
        <w:rPr/>
      </w:pPr>
      <w:r>
        <w:rPr>
          <w:lang w:val="ro-RO"/>
        </w:rPr>
        <w:t>Motivele pentru care este sau nu necesară continuarea procedurii cu trecerea la etapa studiului de evaluare adecvată, se prezintă pentru fiecare din cele 9 puncte de mai jos:</w:t>
      </w:r>
    </w:p>
    <w:p>
      <w:pPr>
        <w:pStyle w:val="Normal"/>
        <w:ind w:hanging="0"/>
        <w:jc w:val="both"/>
        <w:rPr>
          <w:sz w:val="16"/>
          <w:szCs w:val="16"/>
          <w:lang w:val="ro-RO"/>
        </w:rPr>
      </w:pPr>
      <w:r>
        <w:rPr>
          <w:sz w:val="16"/>
          <w:szCs w:val="16"/>
          <w:lang w:val="ro-RO"/>
        </w:rPr>
      </w:r>
    </w:p>
    <w:p>
      <w:pPr>
        <w:pStyle w:val="Normal"/>
        <w:ind w:firstLine="567"/>
        <w:jc w:val="both"/>
        <w:rPr>
          <w:i/>
          <w:i/>
          <w:iCs/>
        </w:rPr>
      </w:pPr>
      <w:r>
        <w:rPr>
          <w:i/>
          <w:iCs/>
        </w:rPr>
        <w:t>1. pierdere directă prin reducerea suprafeței acoperite de habitat ca urmare a distrugerii sale fizice:</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Cs/>
          <w:iCs/>
          <w:lang w:val="ro-RO"/>
        </w:rPr>
        <w:t xml:space="preserve"> </w:t>
      </w:r>
      <w:r>
        <w:rPr>
          <w:b/>
          <w:bCs/>
        </w:rPr>
        <w:t>NU</w:t>
      </w:r>
      <w:r>
        <w:rPr/>
        <w:t xml:space="preserve"> </w:t>
      </w:r>
      <w:r>
        <w:rPr>
          <w:rFonts w:eastAsia="Times New Roman" w:cs="Times New Roman"/>
          <w:color w:val="auto"/>
          <w:kern w:val="0"/>
          <w:sz w:val="24"/>
          <w:szCs w:val="24"/>
          <w:lang w:val="en-US" w:eastAsia="zh-CN" w:bidi="ar-SA"/>
        </w:rPr>
        <w:t>va avea loc o pierdere directa prin reucerea suprafeteti acoperite de habitat ca urmare a distrugerii sale fizice.</w:t>
      </w:r>
      <w:r>
        <w:rPr/>
        <w:t xml:space="preserve"> </w:t>
      </w:r>
    </w:p>
    <w:p>
      <w:pPr>
        <w:pStyle w:val="Normal"/>
        <w:ind w:firstLine="567"/>
        <w:jc w:val="both"/>
        <w:rPr/>
      </w:pPr>
      <w:r>
        <w:rPr/>
      </w:r>
    </w:p>
    <w:p>
      <w:pPr>
        <w:pStyle w:val="Normal"/>
        <w:ind w:firstLine="567"/>
        <w:jc w:val="both"/>
        <w:rPr/>
      </w:pPr>
      <w:r>
        <w:rPr/>
        <w:t>2</w:t>
      </w:r>
      <w:r>
        <w:rPr>
          <w:i/>
          <w:iCs/>
        </w:rPr>
        <w:t>. pierderea habitatului de reproducere, hrănire, odihnă ale speciilor:</w:t>
      </w:r>
    </w:p>
    <w:p>
      <w:pPr>
        <w:pStyle w:val="Normal"/>
        <w:ind w:firstLine="567"/>
        <w:jc w:val="both"/>
        <w:rPr>
          <w:color w:val="FF0000"/>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vor avea loc pierderi ale habitatelor de reproducere, hrănire si odihnă ale speciilor</w:t>
      </w:r>
      <w:r>
        <w:rPr>
          <w:i/>
          <w:iCs/>
          <w:sz w:val="23"/>
          <w:szCs w:val="23"/>
        </w:rPr>
        <w:t>.</w:t>
      </w:r>
    </w:p>
    <w:p>
      <w:pPr>
        <w:pStyle w:val="Normal"/>
        <w:ind w:firstLine="567"/>
        <w:jc w:val="both"/>
        <w:rPr>
          <w:color w:val="FF0000"/>
        </w:rPr>
      </w:pPr>
      <w:r>
        <w:rPr>
          <w:color w:val="FF0000"/>
        </w:rPr>
      </w:r>
    </w:p>
    <w:p>
      <w:pPr>
        <w:pStyle w:val="Normal"/>
        <w:ind w:firstLine="567"/>
        <w:jc w:val="both"/>
        <w:rPr/>
      </w:pPr>
      <w:r>
        <w:rPr>
          <w:i/>
          <w:iCs/>
        </w:rPr>
        <w:t>3. alterare/degradare prin deteriorarea calității habitatului, care conduce la o abundență redusă a speciilor caracteristice sau la modificarea structurii biocenozei (componența speciilor):</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 </w:t>
      </w:r>
      <w:r>
        <w:rPr/>
        <w:t xml:space="preserve"> va avea loc alterări/degradări privind deteriorarea calității habitatului, care să conducă la o abundență redusă a speciilor caracteristice sau la modificarea structurii biocenozei (componența speciilor)</w:t>
      </w:r>
      <w:r>
        <w:rPr>
          <w:i/>
          <w:iCs/>
          <w:sz w:val="23"/>
          <w:szCs w:val="23"/>
        </w:rPr>
        <w:t>.</w:t>
      </w:r>
    </w:p>
    <w:p>
      <w:pPr>
        <w:pStyle w:val="Normal"/>
        <w:ind w:firstLine="567"/>
        <w:jc w:val="both"/>
        <w:rPr>
          <w:color w:val="FF0000"/>
        </w:rPr>
      </w:pPr>
      <w:r>
        <w:rPr>
          <w:color w:val="FF0000"/>
        </w:rPr>
      </w:r>
    </w:p>
    <w:p>
      <w:pPr>
        <w:pStyle w:val="Normal"/>
        <w:ind w:firstLine="567"/>
        <w:jc w:val="both"/>
        <w:rPr>
          <w:i/>
          <w:i/>
          <w:iCs/>
        </w:rPr>
      </w:pPr>
      <w:r>
        <w:rPr>
          <w:i/>
          <w:iCs/>
        </w:rPr>
        <w:t>4. alterare/degradare prin deteriorarea habitatelor de reproducere, hrănire, odihnă a speciilor:</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va avea  loc alterări/degradări ale habitatelor de reproducere, hrănire, odihnă ale speciilor</w:t>
      </w:r>
      <w:r>
        <w:rPr>
          <w:i/>
          <w:iCs/>
          <w:sz w:val="23"/>
          <w:szCs w:val="23"/>
        </w:rPr>
        <w:t>.</w:t>
      </w:r>
    </w:p>
    <w:p>
      <w:pPr>
        <w:pStyle w:val="Normal"/>
        <w:ind w:firstLine="567"/>
        <w:jc w:val="both"/>
        <w:rPr>
          <w:color w:val="FF0000"/>
        </w:rPr>
      </w:pPr>
      <w:r>
        <w:rPr>
          <w:color w:val="FF0000"/>
        </w:rPr>
      </w:r>
    </w:p>
    <w:p>
      <w:pPr>
        <w:pStyle w:val="Normal"/>
        <w:ind w:firstLine="567"/>
        <w:jc w:val="both"/>
        <w:rPr>
          <w:i/>
          <w:i/>
          <w:iCs/>
        </w:rPr>
      </w:pPr>
      <w:r>
        <w:rPr>
          <w:i/>
          <w:iCs/>
        </w:rPr>
        <w:t>5. perturbare prin schimbarea condițiilor de mediu existente: strămutări ale exemplarelor speciilor, modificări comportamentale ale speciilor:</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vor avea loc perturbări prin schimbarea condițiilor de mediu existente: strămutări ale exemplarelor speciilor, modificări comportamentale ale speciilor.</w:t>
      </w:r>
    </w:p>
    <w:p>
      <w:pPr>
        <w:pStyle w:val="Normal"/>
        <w:ind w:firstLine="567"/>
        <w:jc w:val="both"/>
        <w:rPr>
          <w:color w:val="FF0000"/>
        </w:rPr>
      </w:pPr>
      <w:r>
        <w:rPr>
          <w:color w:val="FF0000"/>
        </w:rPr>
      </w:r>
    </w:p>
    <w:p>
      <w:pPr>
        <w:pStyle w:val="Normal"/>
        <w:ind w:firstLine="567"/>
        <w:jc w:val="both"/>
        <w:rPr/>
      </w:pPr>
      <w:bookmarkStart w:id="28" w:name="_Hlk143083001"/>
      <w:r>
        <w:rPr>
          <w:i/>
          <w:iCs/>
        </w:rPr>
        <w:t>6. fragmentare prin crearea de bariere fizice sau comportamentale în habitatele conectate din punct de vedere fizic sau funcțional sau prin împărțirea acestora în fragmente mai mici și mai izolate</w:t>
      </w:r>
      <w:bookmarkEnd w:id="28"/>
      <w:r>
        <w:rPr>
          <w:i/>
          <w:iCs/>
        </w:rPr>
        <w:t>:</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vor avea loc fragmentări prin crearea de bariere fizice sau comportamentale în habitatele conectate din punct de vedere fizic sau funcțional sau prin împărțirea acestora în fragmente mai mici și mai izolate.</w:t>
      </w:r>
    </w:p>
    <w:p>
      <w:pPr>
        <w:pStyle w:val="Normal"/>
        <w:ind w:firstLine="567"/>
        <w:jc w:val="both"/>
        <w:rPr>
          <w:color w:val="FF0000"/>
        </w:rPr>
      </w:pPr>
      <w:r>
        <w:rPr>
          <w:color w:val="FF0000"/>
        </w:rPr>
      </w:r>
    </w:p>
    <w:p>
      <w:pPr>
        <w:pStyle w:val="Normal"/>
        <w:ind w:firstLine="567"/>
        <w:jc w:val="both"/>
        <w:rPr/>
      </w:pPr>
      <w:r>
        <w:rPr>
          <w:i/>
          <w:iCs/>
        </w:rPr>
        <w:t>7. reducerea efectivelor populaţionale ca urmare a mortalităţii directe generată de PP sau ca urmare a celorlalte forme de impact:</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vor avea loc reduceri ale efectivelor populaţionale ca urmare a mortalităţii directe generată de plan sau ca urmare a celorlalte forme de impact.</w:t>
      </w:r>
    </w:p>
    <w:p>
      <w:pPr>
        <w:pStyle w:val="Normal"/>
        <w:ind w:firstLine="567"/>
        <w:jc w:val="both"/>
        <w:rPr/>
      </w:pPr>
      <w:r>
        <w:rPr/>
      </w:r>
    </w:p>
    <w:p>
      <w:pPr>
        <w:pStyle w:val="Normal"/>
        <w:ind w:firstLine="567"/>
        <w:jc w:val="both"/>
        <w:rPr/>
      </w:pPr>
      <w:r>
        <w:rPr>
          <w:i/>
          <w:iCs/>
        </w:rPr>
        <w:t>8. alte impacturi indirecte prin modificarea indirectă a calității mediului:</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vor avea loc alte impacturi indirecte prin modificarea indirectă a calității mediului.</w:t>
      </w:r>
    </w:p>
    <w:p>
      <w:pPr>
        <w:pStyle w:val="Normal"/>
        <w:ind w:firstLine="567"/>
        <w:jc w:val="both"/>
        <w:rPr>
          <w:color w:val="FF0000"/>
        </w:rPr>
      </w:pPr>
      <w:r>
        <w:rPr>
          <w:color w:val="FF0000"/>
        </w:rPr>
      </w:r>
    </w:p>
    <w:p>
      <w:pPr>
        <w:pStyle w:val="Normal"/>
        <w:ind w:firstLine="567"/>
        <w:jc w:val="both"/>
        <w:rPr/>
      </w:pPr>
      <w:r>
        <w:rPr>
          <w:i/>
          <w:iCs/>
        </w:rPr>
        <w:t>9. incertitudinile identificate:</w:t>
      </w:r>
    </w:p>
    <w:p>
      <w:pPr>
        <w:pStyle w:val="Normal"/>
        <w:ind w:firstLine="567"/>
        <w:jc w:val="both"/>
        <w:rPr/>
      </w:pPr>
      <w:r>
        <w:rPr/>
        <w:t xml:space="preserve">Prin implementarea Planului Amenajamentelor U.P. </w:t>
      </w:r>
      <w:r>
        <w:rPr>
          <w:lang w:eastAsia="en-US"/>
        </w:rPr>
        <w:t>IV Hășmaș</w:t>
      </w:r>
      <w:r>
        <w:rPr>
          <w:b/>
          <w:lang w:eastAsia="en-US"/>
        </w:rPr>
        <w:t xml:space="preserve"> </w:t>
      </w:r>
      <w:r>
        <w:rPr>
          <w:bCs/>
        </w:rPr>
        <w:t>și U.P. V Groșeni</w:t>
      </w:r>
      <w:r>
        <w:rPr>
          <w:b/>
          <w:bCs/>
        </w:rPr>
        <w:t xml:space="preserve"> NU</w:t>
      </w:r>
      <w:r>
        <w:rPr/>
        <w:t xml:space="preserve"> au fost identificate incertitudini.</w:t>
      </w:r>
    </w:p>
    <w:p>
      <w:pPr>
        <w:pStyle w:val="Normal"/>
        <w:jc w:val="both"/>
        <w:rPr>
          <w:b/>
          <w:b/>
          <w:bCs/>
          <w:color w:val="FF0000"/>
          <w:lang w:val="ro-RO"/>
        </w:rPr>
      </w:pPr>
      <w:r>
        <w:rPr>
          <w:b/>
          <w:bCs/>
          <w:color w:val="FF0000"/>
          <w:lang w:val="ro-RO"/>
        </w:rPr>
      </w:r>
    </w:p>
    <w:p>
      <w:pPr>
        <w:pStyle w:val="Normal"/>
        <w:jc w:val="both"/>
        <w:rPr>
          <w:b/>
          <w:b/>
          <w:bCs/>
          <w:color w:val="FF0000"/>
          <w:lang w:val="ro-RO"/>
        </w:rPr>
      </w:pPr>
      <w:r>
        <w:rPr>
          <w:b/>
          <w:bCs/>
          <w:color w:val="FF0000"/>
          <w:lang w:val="ro-RO"/>
        </w:rPr>
      </w:r>
    </w:p>
    <w:p>
      <w:pPr>
        <w:pStyle w:val="Normal"/>
        <w:ind w:hanging="0"/>
        <w:jc w:val="both"/>
        <w:rPr/>
      </w:pPr>
      <w:r>
        <w:rPr>
          <w:b/>
          <w:bCs/>
        </w:rPr>
        <w:tab/>
        <w:t xml:space="preserve"> </w:t>
      </w:r>
      <w:r>
        <w:rPr/>
        <w:t>Coordonatele STEREO 70 pentru limita fondului forestier analizat, proprietate a statului.</w:t>
      </w:r>
    </w:p>
    <w:p>
      <w:pPr>
        <w:pStyle w:val="Normal"/>
        <w:ind w:firstLine="567"/>
        <w:jc w:val="both"/>
        <w:rPr/>
      </w:pPr>
      <w:r>
        <w:rPr/>
      </w:r>
    </w:p>
    <w:p>
      <w:pPr>
        <w:pStyle w:val="Normal"/>
        <w:ind w:firstLine="720"/>
        <w:rPr>
          <w:b/>
          <w:b/>
          <w:i/>
          <w:i/>
          <w:lang w:val="ro-RO" w:eastAsia="ro-RO"/>
        </w:rPr>
      </w:pPr>
      <w:r>
        <w:rPr>
          <w:b/>
          <w:i/>
          <w:lang w:val="ro-RO" w:eastAsia="ro-RO"/>
        </w:rPr>
        <w:t>U.P. IV Hășmaș</w:t>
      </w:r>
    </w:p>
    <w:p>
      <w:pPr>
        <w:pStyle w:val="Normal"/>
        <w:ind w:left="7920" w:hanging="0"/>
        <w:rPr>
          <w:lang w:val="en-AU"/>
        </w:rPr>
      </w:pPr>
      <w:r>
        <w:rPr>
          <w:i/>
          <w:sz w:val="20"/>
          <w:szCs w:val="20"/>
          <w:lang w:val="en-AU" w:eastAsia="ro-RO"/>
        </w:rPr>
        <w:t xml:space="preserve">    </w:t>
      </w:r>
    </w:p>
    <w:tbl>
      <w:tblPr>
        <w:tblW w:w="4957" w:type="dxa"/>
        <w:jc w:val="center"/>
        <w:tblInd w:w="0" w:type="dxa"/>
        <w:tblCellMar>
          <w:top w:w="0" w:type="dxa"/>
          <w:left w:w="108" w:type="dxa"/>
          <w:bottom w:w="0" w:type="dxa"/>
          <w:right w:w="108" w:type="dxa"/>
        </w:tblCellMar>
        <w:tblLook w:firstRow="1" w:noVBand="1" w:lastRow="0" w:firstColumn="1" w:lastColumn="0" w:noHBand="0" w:val="04a0"/>
      </w:tblPr>
      <w:tblGrid>
        <w:gridCol w:w="922"/>
        <w:gridCol w:w="1837"/>
        <w:gridCol w:w="2198"/>
      </w:tblGrid>
      <w:tr>
        <w:trPr>
          <w:tblHeader w:val="true"/>
          <w:trHeight w:val="240" w:hRule="atLeast"/>
        </w:trPr>
        <w:tc>
          <w:tcPr>
            <w:tcW w:w="922" w:type="dxa"/>
            <w:vMerge w:val="restart"/>
            <w:tcBorders>
              <w:top w:val="single" w:sz="4" w:space="0" w:color="000000"/>
              <w:left w:val="single" w:sz="4" w:space="0" w:color="000000"/>
              <w:bottom w:val="single" w:sz="4" w:space="0" w:color="000000"/>
            </w:tcBorders>
            <w:vAlign w:val="center"/>
          </w:tcPr>
          <w:p>
            <w:pPr>
              <w:pStyle w:val="Normal"/>
              <w:jc w:val="center"/>
              <w:rPr>
                <w:b/>
                <w:b/>
                <w:sz w:val="20"/>
                <w:szCs w:val="20"/>
                <w:lang w:val="en-AU" w:eastAsia="ro-RO"/>
              </w:rPr>
            </w:pPr>
            <w:r>
              <w:rPr>
                <w:b/>
                <w:sz w:val="20"/>
                <w:szCs w:val="20"/>
                <w:lang w:val="en-AU" w:eastAsia="ro-RO"/>
              </w:rPr>
              <w:t>Nr. punct</w:t>
            </w:r>
          </w:p>
        </w:tc>
        <w:tc>
          <w:tcPr>
            <w:tcW w:w="4035" w:type="dxa"/>
            <w:gridSpan w:val="2"/>
            <w:tcBorders>
              <w:top w:val="single" w:sz="4" w:space="0" w:color="000000"/>
              <w:left w:val="single" w:sz="4" w:space="0" w:color="000000"/>
              <w:bottom w:val="single" w:sz="4" w:space="0" w:color="000000"/>
              <w:right w:val="single" w:sz="4" w:space="0" w:color="000000"/>
            </w:tcBorders>
            <w:vAlign w:val="center"/>
          </w:tcPr>
          <w:p>
            <w:pPr>
              <w:pStyle w:val="Normal"/>
              <w:ind w:left="-108" w:right="-9" w:hanging="0"/>
              <w:jc w:val="center"/>
              <w:rPr>
                <w:sz w:val="20"/>
                <w:szCs w:val="20"/>
                <w:lang w:val="en-AU" w:eastAsia="ro-RO"/>
              </w:rPr>
            </w:pPr>
            <w:r>
              <w:rPr>
                <w:b/>
                <w:sz w:val="20"/>
                <w:szCs w:val="20"/>
                <w:lang w:val="en-AU" w:eastAsia="ro-RO"/>
              </w:rPr>
              <w:t>Coordonatele punctelor (m)</w:t>
            </w:r>
          </w:p>
        </w:tc>
      </w:tr>
      <w:tr>
        <w:trPr>
          <w:tblHeader w:val="true"/>
          <w:trHeight w:val="240" w:hRule="atLeast"/>
        </w:trPr>
        <w:tc>
          <w:tcPr>
            <w:tcW w:w="922" w:type="dxa"/>
            <w:vMerge w:val="continue"/>
            <w:tcBorders>
              <w:top w:val="single" w:sz="4" w:space="0" w:color="000000"/>
              <w:left w:val="single" w:sz="4" w:space="0" w:color="000000"/>
              <w:bottom w:val="single" w:sz="4" w:space="0" w:color="000000"/>
            </w:tcBorders>
            <w:vAlign w:val="center"/>
          </w:tcPr>
          <w:p>
            <w:pPr>
              <w:pStyle w:val="Normal"/>
              <w:snapToGrid w:val="false"/>
              <w:jc w:val="center"/>
              <w:rPr>
                <w:sz w:val="20"/>
                <w:szCs w:val="20"/>
                <w:lang w:val="en-AU" w:eastAsia="ro-RO"/>
              </w:rPr>
            </w:pPr>
            <w:r>
              <w:rPr>
                <w:sz w:val="20"/>
                <w:szCs w:val="20"/>
                <w:lang w:val="en-AU" w:eastAsia="ro-RO"/>
              </w:rPr>
            </w:r>
          </w:p>
        </w:tc>
        <w:tc>
          <w:tcPr>
            <w:tcW w:w="1837" w:type="dxa"/>
            <w:tcBorders>
              <w:top w:val="single" w:sz="4" w:space="0" w:color="000000"/>
              <w:left w:val="single" w:sz="4" w:space="0" w:color="000000"/>
              <w:bottom w:val="single" w:sz="4" w:space="0" w:color="000000"/>
            </w:tcBorders>
            <w:vAlign w:val="center"/>
          </w:tcPr>
          <w:p>
            <w:pPr>
              <w:pStyle w:val="Normal"/>
              <w:jc w:val="center"/>
              <w:rPr>
                <w:sz w:val="20"/>
                <w:szCs w:val="20"/>
                <w:lang w:val="en-AU" w:eastAsia="ro-RO"/>
              </w:rPr>
            </w:pPr>
            <w:r>
              <w:rPr>
                <w:b/>
                <w:sz w:val="20"/>
                <w:szCs w:val="20"/>
                <w:lang w:val="en-AU" w:eastAsia="ro-RO"/>
              </w:rPr>
              <w:t>Nord</w:t>
            </w:r>
          </w:p>
        </w:tc>
        <w:tc>
          <w:tcPr>
            <w:tcW w:w="219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20"/>
                <w:szCs w:val="20"/>
                <w:lang w:val="en-AU" w:eastAsia="ro-RO"/>
              </w:rPr>
            </w:pPr>
            <w:r>
              <w:rPr>
                <w:b/>
                <w:sz w:val="20"/>
                <w:szCs w:val="20"/>
                <w:lang w:val="en-AU" w:eastAsia="ro-RO"/>
              </w:rPr>
              <w:t>Est</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567244.86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278878.07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567711.51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279094.75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568053.51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280503.32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568838.43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281150.35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195</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568861.50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282116.82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196</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569000.91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282460.96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197</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568567.14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282998.69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220</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565805.03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277872.95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565414.76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278419.34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565445.04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278498.23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565229.94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279432.79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565698.10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279346.91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225</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565859.66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278755.35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226</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566061.86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278919.05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227</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566162.92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279327.37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228</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566348.77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279627.07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229</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566330.77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279686.02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230</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566463.37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279802.83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565739.50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280144.00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565954.29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280525.67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565126.62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280826.47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565297.46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281091.08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235</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565212.85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281760.13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236</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564941.10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281473.94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237</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564588.98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281587.61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238</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564479.64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281481.35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239</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564132.39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281219.02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240</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564037.49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281089.54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241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563537.78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280706.75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242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563343.06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280497.38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243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563075.29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280156.76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244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562832.16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280058.35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567244.86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278878.07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567711.51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279094.75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568053.51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280503.32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568838.43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281150.35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195</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568861.50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282116.82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196</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569000.91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282460.96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197</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568567.14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282998.69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220</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565805.03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277872.95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565414.76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278419.34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565445.04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278498.23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223</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565229.94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279432.79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224</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565698.10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279346.91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225</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565859.66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278755.35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226</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566061.86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278919.05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227</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566162.92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279327.37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228</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566348.77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279627.07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229</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566330.77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279686.02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230</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566463.37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279802.83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231</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565739.50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280144.00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232</w:t>
            </w:r>
          </w:p>
        </w:tc>
        <w:tc>
          <w:tcPr>
            <w:tcW w:w="1837" w:type="dxa"/>
            <w:tcBorders>
              <w:top w:val="single" w:sz="4" w:space="0" w:color="000000"/>
              <w:left w:val="single" w:sz="4" w:space="0" w:color="000000"/>
              <w:bottom w:val="single" w:sz="4" w:space="0" w:color="000000"/>
            </w:tcBorders>
            <w:vAlign w:val="bottom"/>
          </w:tcPr>
          <w:p>
            <w:pPr>
              <w:pStyle w:val="Normal"/>
              <w:jc w:val="center"/>
              <w:rPr>
                <w:sz w:val="20"/>
                <w:szCs w:val="20"/>
                <w:lang w:val="en-AU" w:eastAsia="ro-RO"/>
              </w:rPr>
            </w:pPr>
            <w:r>
              <w:rPr>
                <w:color w:val="000000"/>
              </w:rPr>
              <w:t>565954.29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sz w:val="20"/>
                <w:szCs w:val="20"/>
                <w:lang w:val="en-AU" w:eastAsia="ro-RO"/>
              </w:rPr>
            </w:pPr>
            <w:r>
              <w:rPr>
                <w:color w:val="000000"/>
              </w:rPr>
              <w:t>280525.67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565126.62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280826.47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565297.46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281091.08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565212.85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281760.13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564941.10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281473.94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564588.98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281587.61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564479.64</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281481.35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239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564132.39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281219.02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564037.49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281089.54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563537.78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280706.75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563343.06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280497.38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563075.29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280156.76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562832.16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280058.35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562321.20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279813.62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562177.10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279691.82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561946.88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279564.57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561389.37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279086.42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561443.89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279424.81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561884.00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280094.88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562214.21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280616.33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562520.59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280840.08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562522.43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281092.65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563184.48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281949.29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563487.57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282211.25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563459.32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283422.10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563743.61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283850.84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564870.92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283807.16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565909.11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283560.40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566177.43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283031.35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566491.46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283185.85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566687.89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283221.14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567395.97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282805.52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567703.05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282963.21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568285.39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282936.04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565130.53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280266.46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565165.91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280394.20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565140.78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280399.44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565109.92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280331.59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562921.85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278754.88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563176.72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278963.80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563137.13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279655.92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563067.95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279709.59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562823.72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279613.73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562740.60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279058.89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562805.43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278875.98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562321.20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279813.62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562177.10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279691.82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561946.88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279564.57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561389.37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279086.42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561443.89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279424.81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561884.00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280094.88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562214.21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280616.33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562520.59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280840.08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562522.43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281092.65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563184.48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281949.29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563487.57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282211.25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563459.32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283422.10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563743.61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283850.84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564870.92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283807.16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565909.11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283560.40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566177.43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283031.35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566491.46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283185.85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566687.89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283221.14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567395.97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282805.52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567703.05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282963.21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568285.39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282936.04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565130.53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280266.46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565165.91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280394.20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565140.78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280399.44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565109.92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280331.59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562921.85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278754.88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563176.72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278963.80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563137.13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279655.92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563067.95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279709.59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562823.72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279613.73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562740.60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279058.89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562805.43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278875.98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562321.20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279813.62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562177.10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279691.82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561946.88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279564.57</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561389.37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279086.42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249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561443.89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279424.81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561884.00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280094.88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562214.21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280616.33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562520.59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280840.08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562522.43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281092.65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563184.48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281949.29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563487.57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282211.25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563459.32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283422.10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563743.61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283850.84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564870.92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283807.16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259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565909.11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283560.40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566177.43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283031.35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566491.46</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283185.85</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566687.89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283221.14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567395.97</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282805.52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567703.05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282963.21</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568285.39</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282936.04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565130.53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280266.46</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267</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565165.91</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280394.20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268</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565140.78</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280399.44</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269</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565109.92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280331.59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270</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562921.85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278754.88</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271</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563176.72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278963.80</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272</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563137.13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279655.92</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273</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563067.95</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279709.59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274</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562823.72</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279613.73</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275</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562740.60</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279058.89</w:t>
            </w:r>
          </w:p>
        </w:tc>
      </w:tr>
      <w:tr>
        <w:trPr>
          <w:trHeight w:val="240" w:hRule="atLeast"/>
        </w:trPr>
        <w:tc>
          <w:tcPr>
            <w:tcW w:w="922"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276</w:t>
            </w:r>
          </w:p>
        </w:tc>
        <w:tc>
          <w:tcPr>
            <w:tcW w:w="1837" w:type="dxa"/>
            <w:tcBorders>
              <w:top w:val="single" w:sz="4" w:space="0" w:color="000000"/>
              <w:left w:val="single" w:sz="4" w:space="0" w:color="000000"/>
              <w:bottom w:val="single" w:sz="4" w:space="0" w:color="000000"/>
            </w:tcBorders>
            <w:vAlign w:val="bottom"/>
          </w:tcPr>
          <w:p>
            <w:pPr>
              <w:pStyle w:val="Normal"/>
              <w:jc w:val="center"/>
              <w:rPr>
                <w:color w:val="000000"/>
              </w:rPr>
            </w:pPr>
            <w:r>
              <w:rPr>
                <w:color w:val="000000"/>
              </w:rPr>
              <w:t>562805.43</w:t>
            </w:r>
          </w:p>
        </w:tc>
        <w:tc>
          <w:tcPr>
            <w:tcW w:w="2198" w:type="dxa"/>
            <w:tcBorders>
              <w:top w:val="single" w:sz="4" w:space="0" w:color="000000"/>
              <w:left w:val="single" w:sz="4" w:space="0" w:color="000000"/>
              <w:bottom w:val="single" w:sz="4" w:space="0" w:color="000000"/>
              <w:right w:val="single" w:sz="4" w:space="0" w:color="000000"/>
            </w:tcBorders>
            <w:vAlign w:val="bottom"/>
          </w:tcPr>
          <w:p>
            <w:pPr>
              <w:pStyle w:val="Normal"/>
              <w:jc w:val="center"/>
              <w:rPr>
                <w:color w:val="000000"/>
              </w:rPr>
            </w:pPr>
            <w:r>
              <w:rPr>
                <w:color w:val="000000"/>
              </w:rPr>
              <w:t>278875.98</w:t>
            </w:r>
          </w:p>
        </w:tc>
      </w:tr>
    </w:tbl>
    <w:p>
      <w:pPr>
        <w:pStyle w:val="Normal"/>
        <w:jc w:val="both"/>
        <w:rPr>
          <w:b/>
          <w:b/>
          <w:i/>
          <w:i/>
          <w:color w:val="FF0000"/>
          <w:szCs w:val="20"/>
          <w:u w:val="single"/>
          <w:lang w:val="ro-RO" w:eastAsia="ro-RO"/>
        </w:rPr>
      </w:pPr>
      <w:r>
        <w:rPr>
          <w:b/>
          <w:i/>
          <w:color w:val="FF0000"/>
          <w:szCs w:val="20"/>
          <w:u w:val="single"/>
          <w:lang w:val="ro-RO" w:eastAsia="ro-RO"/>
        </w:rPr>
      </w:r>
    </w:p>
    <w:p>
      <w:pPr>
        <w:pStyle w:val="Normal"/>
        <w:ind w:firstLine="720"/>
        <w:rPr>
          <w:b/>
          <w:b/>
          <w:i/>
          <w:i/>
          <w:lang w:val="ro-RO" w:eastAsia="ro-RO"/>
        </w:rPr>
      </w:pPr>
      <w:r>
        <w:rPr>
          <w:b/>
          <w:i/>
          <w:lang w:val="ro-RO" w:eastAsia="ro-RO"/>
        </w:rPr>
        <w:t>U.P. V Groșeni</w:t>
      </w:r>
    </w:p>
    <w:p>
      <w:pPr>
        <w:pStyle w:val="Normal"/>
        <w:rPr>
          <w:i/>
          <w:i/>
          <w:sz w:val="20"/>
          <w:szCs w:val="20"/>
          <w:lang w:val="ro-RO" w:eastAsia="ro-RO"/>
        </w:rPr>
      </w:pPr>
      <w:r>
        <w:rPr>
          <w:i/>
          <w:sz w:val="20"/>
          <w:szCs w:val="20"/>
          <w:lang w:val="ro-RO" w:eastAsia="ro-RO"/>
        </w:rPr>
      </w:r>
    </w:p>
    <w:tbl>
      <w:tblPr>
        <w:tblW w:w="4957" w:type="dxa"/>
        <w:jc w:val="center"/>
        <w:tblInd w:w="0" w:type="dxa"/>
        <w:tblCellMar>
          <w:top w:w="0" w:type="dxa"/>
          <w:left w:w="108" w:type="dxa"/>
          <w:bottom w:w="0" w:type="dxa"/>
          <w:right w:w="108" w:type="dxa"/>
        </w:tblCellMar>
        <w:tblLook w:firstRow="1" w:noVBand="1" w:lastRow="0" w:firstColumn="1" w:lastColumn="0" w:noHBand="0" w:val="04a0"/>
      </w:tblPr>
      <w:tblGrid>
        <w:gridCol w:w="922"/>
        <w:gridCol w:w="1837"/>
        <w:gridCol w:w="2198"/>
      </w:tblGrid>
      <w:tr>
        <w:trPr>
          <w:tblHeader w:val="true"/>
          <w:trHeight w:val="240" w:hRule="atLeast"/>
        </w:trPr>
        <w:tc>
          <w:tcPr>
            <w:tcW w:w="922" w:type="dxa"/>
            <w:vMerge w:val="restart"/>
            <w:tcBorders>
              <w:top w:val="single" w:sz="4" w:space="0" w:color="000000"/>
              <w:left w:val="single" w:sz="4" w:space="0" w:color="000000"/>
              <w:bottom w:val="single" w:sz="4" w:space="0" w:color="000000"/>
            </w:tcBorders>
            <w:vAlign w:val="center"/>
          </w:tcPr>
          <w:p>
            <w:pPr>
              <w:pStyle w:val="Normal"/>
              <w:jc w:val="center"/>
              <w:rPr>
                <w:b/>
                <w:b/>
                <w:sz w:val="20"/>
                <w:szCs w:val="20"/>
                <w:lang w:val="en-AU" w:eastAsia="ro-RO"/>
              </w:rPr>
            </w:pPr>
            <w:r>
              <w:rPr>
                <w:b/>
                <w:sz w:val="20"/>
                <w:szCs w:val="20"/>
                <w:lang w:val="en-AU" w:eastAsia="ro-RO"/>
              </w:rPr>
              <w:t>Nr. punct</w:t>
            </w:r>
          </w:p>
        </w:tc>
        <w:tc>
          <w:tcPr>
            <w:tcW w:w="4035" w:type="dxa"/>
            <w:gridSpan w:val="2"/>
            <w:tcBorders>
              <w:top w:val="single" w:sz="4" w:space="0" w:color="000000"/>
              <w:left w:val="single" w:sz="4" w:space="0" w:color="000000"/>
              <w:bottom w:val="single" w:sz="4" w:space="0" w:color="000000"/>
              <w:right w:val="single" w:sz="4" w:space="0" w:color="000000"/>
            </w:tcBorders>
            <w:vAlign w:val="center"/>
          </w:tcPr>
          <w:p>
            <w:pPr>
              <w:pStyle w:val="Normal"/>
              <w:ind w:left="-108" w:right="-9" w:hanging="0"/>
              <w:jc w:val="center"/>
              <w:rPr>
                <w:sz w:val="20"/>
                <w:szCs w:val="20"/>
                <w:lang w:val="en-AU" w:eastAsia="ro-RO"/>
              </w:rPr>
            </w:pPr>
            <w:r>
              <w:rPr>
                <w:b/>
                <w:sz w:val="20"/>
                <w:szCs w:val="20"/>
                <w:lang w:val="en-AU" w:eastAsia="ro-RO"/>
              </w:rPr>
              <w:t>Coordonatele punctelor (m)</w:t>
            </w:r>
          </w:p>
        </w:tc>
      </w:tr>
      <w:tr>
        <w:trPr>
          <w:tblHeader w:val="true"/>
          <w:trHeight w:val="240" w:hRule="atLeast"/>
        </w:trPr>
        <w:tc>
          <w:tcPr>
            <w:tcW w:w="922" w:type="dxa"/>
            <w:vMerge w:val="continue"/>
            <w:tcBorders>
              <w:top w:val="single" w:sz="4" w:space="0" w:color="000000"/>
              <w:left w:val="single" w:sz="4" w:space="0" w:color="000000"/>
              <w:bottom w:val="single" w:sz="4" w:space="0" w:color="000000"/>
            </w:tcBorders>
            <w:vAlign w:val="center"/>
          </w:tcPr>
          <w:p>
            <w:pPr>
              <w:pStyle w:val="Normal"/>
              <w:snapToGrid w:val="false"/>
              <w:jc w:val="center"/>
              <w:rPr>
                <w:sz w:val="20"/>
                <w:szCs w:val="20"/>
                <w:lang w:val="en-AU" w:eastAsia="ro-RO"/>
              </w:rPr>
            </w:pPr>
            <w:r>
              <w:rPr>
                <w:sz w:val="20"/>
                <w:szCs w:val="20"/>
                <w:lang w:val="en-AU" w:eastAsia="ro-RO"/>
              </w:rPr>
            </w:r>
          </w:p>
        </w:tc>
        <w:tc>
          <w:tcPr>
            <w:tcW w:w="1837" w:type="dxa"/>
            <w:tcBorders>
              <w:top w:val="single" w:sz="4" w:space="0" w:color="000000"/>
              <w:left w:val="single" w:sz="4" w:space="0" w:color="000000"/>
              <w:bottom w:val="single" w:sz="4" w:space="0" w:color="000000"/>
            </w:tcBorders>
            <w:vAlign w:val="center"/>
          </w:tcPr>
          <w:p>
            <w:pPr>
              <w:pStyle w:val="Normal"/>
              <w:jc w:val="center"/>
              <w:rPr>
                <w:sz w:val="20"/>
                <w:szCs w:val="20"/>
                <w:lang w:val="en-AU" w:eastAsia="ro-RO"/>
              </w:rPr>
            </w:pPr>
            <w:r>
              <w:rPr>
                <w:b/>
                <w:sz w:val="20"/>
                <w:szCs w:val="20"/>
                <w:lang w:val="en-AU" w:eastAsia="ro-RO"/>
              </w:rPr>
              <w:t>Nord</w:t>
            </w:r>
          </w:p>
        </w:tc>
        <w:tc>
          <w:tcPr>
            <w:tcW w:w="219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20"/>
                <w:szCs w:val="20"/>
                <w:lang w:val="en-AU" w:eastAsia="ro-RO"/>
              </w:rPr>
            </w:pPr>
            <w:r>
              <w:rPr>
                <w:b/>
                <w:sz w:val="20"/>
                <w:szCs w:val="20"/>
                <w:lang w:val="en-AU" w:eastAsia="ro-RO"/>
              </w:rPr>
              <w:t>Est</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277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A0A0A"/>
              </w:rPr>
              <w:t>561938.74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31313"/>
              </w:rPr>
              <w:t>280156.97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278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561520.80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C0C0C"/>
              </w:rPr>
              <w:t>280363.55</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279</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561777.65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31313"/>
              </w:rPr>
              <w:t>280738.37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280</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E0E0E"/>
              </w:rPr>
              <w:t>561272.57</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281330.20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281</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561327.91</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281415.12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282</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561808.25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80808"/>
              </w:rPr>
              <w:t>281894.40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283</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562084.73</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282233.91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284</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562397.24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A0A0A"/>
              </w:rPr>
              <w:t>282281.76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285</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562534.42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31313"/>
              </w:rPr>
              <w:t>282436.27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286</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562145.60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282496.60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287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561775.18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282470.48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288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562399.39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282872.40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289</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562748.22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283464.71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290</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562643.46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283507.41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291</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562647.92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283692.82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292</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562830.76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283922.59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293</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563216.09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283726.66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294</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561733.62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284659.11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295</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E0E0E"/>
              </w:rPr>
              <w:t>561585.05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E0E0E"/>
              </w:rPr>
              <w:t>284095.19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296</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561377.60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E0E0E"/>
              </w:rPr>
              <w:t>284310.51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297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561167.96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284236.41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298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51515"/>
              </w:rPr>
              <w:t>561096.23</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E0E0E"/>
              </w:rPr>
              <w:t>284602.29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299</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560629.68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A0A0A"/>
              </w:rPr>
              <w:t>284747.66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62626"/>
              </w:rPr>
              <w:t>300</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A1A1A"/>
              </w:rPr>
              <w:t>560426.10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284553.28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32323"/>
              </w:rPr>
              <w:t>301</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560289.98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283819.66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12121"/>
              </w:rPr>
              <w:t>302</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560371.74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C0C0C"/>
              </w:rPr>
              <w:t>283697.91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F1F1F"/>
              </w:rPr>
              <w:t>303</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560218.31</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C0C0C"/>
              </w:rPr>
              <w:t>283666.75</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B2B2B"/>
              </w:rPr>
              <w:t>304</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560345.64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t>283531.22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C1C1C"/>
              </w:rPr>
              <w:t>305</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t>560350.16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283439.40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A2A2A"/>
              </w:rPr>
              <w:t>306</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A1A1A"/>
              </w:rPr>
              <w:t>560451.84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E0E0E"/>
              </w:rPr>
              <w:t>283420.96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A1A1A"/>
              </w:rPr>
              <w:t>307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560384.56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81818"/>
              </w:rPr>
              <w:t>283332.42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308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560301.49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81818"/>
              </w:rPr>
              <w:t>283345.20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309</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560057.63</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283056.17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32323"/>
              </w:rPr>
              <w:t>310</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559823.62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282565.10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t>311</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559453.70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A0A0A"/>
              </w:rPr>
              <w:t>282377.39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A1A1A"/>
              </w:rPr>
              <w:t>312</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C0C0C"/>
              </w:rPr>
              <w:t>559196.47</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282197.71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D2D2D"/>
              </w:rPr>
              <w:t>313</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558995.78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282185.06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12121"/>
              </w:rPr>
              <w:t>314</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558218.82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281594.55</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315</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80808"/>
              </w:rPr>
              <w:t>558037.72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31313"/>
              </w:rPr>
              <w:t>281518.21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A1A1A"/>
              </w:rPr>
              <w:t>316</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558222.58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262626"/>
              </w:rPr>
              <w:t>281</w:t>
            </w:r>
            <w:r>
              <w:rPr>
                <w:color w:val="181818"/>
              </w:rPr>
              <w:t>909,80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62626"/>
              </w:rPr>
              <w:t>317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558323.69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282204.61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E0E0E"/>
              </w:rPr>
              <w:t>318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558408.83</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262626"/>
              </w:rPr>
              <w:t>282412.26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319</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558555.34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282536.97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61616"/>
              </w:rPr>
              <w:t>320</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558580.66</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F0F0F"/>
              </w:rPr>
              <w:t>283172.51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82828"/>
              </w:rPr>
              <w:t>321</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00000"/>
              </w:rPr>
              <w:t>558575.97</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31313"/>
              </w:rPr>
              <w:t>283633.67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322</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559152.72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284170.45</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333333"/>
              </w:rPr>
              <w:t>323</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559417.45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262626"/>
              </w:rPr>
              <w:t>284645.36</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31313"/>
              </w:rPr>
              <w:t>324</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81818"/>
              </w:rPr>
              <w:t>559663.11</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284615.45</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62626"/>
              </w:rPr>
              <w:t>325</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559925.99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A0A0A"/>
              </w:rPr>
              <w:t>284985.89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232323"/>
              </w:rPr>
              <w:t>326</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C1C1C"/>
              </w:rPr>
              <w:t>560231.74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285515.18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F1F1F"/>
              </w:rPr>
              <w:t>327</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C1C1C"/>
              </w:rPr>
              <w:t>560574.54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111111"/>
              </w:rPr>
              <w:t>285505.74</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111111"/>
              </w:rPr>
              <w:t>328</w:t>
            </w:r>
          </w:p>
        </w:tc>
        <w:tc>
          <w:tcPr>
            <w:tcW w:w="1837" w:type="dxa"/>
            <w:tcBorders>
              <w:top w:val="single" w:sz="4" w:space="0" w:color="000000"/>
              <w:left w:val="single" w:sz="4" w:space="0" w:color="000000"/>
              <w:bottom w:val="single" w:sz="4" w:space="0" w:color="000000"/>
            </w:tcBorders>
          </w:tcPr>
          <w:p>
            <w:pPr>
              <w:pStyle w:val="Normal"/>
              <w:jc w:val="center"/>
              <w:rPr>
                <w:sz w:val="20"/>
                <w:szCs w:val="20"/>
                <w:lang w:val="en-AU" w:eastAsia="ro-RO"/>
              </w:rPr>
            </w:pPr>
            <w:r>
              <w:rPr>
                <w:color w:val="0F0F0F"/>
              </w:rPr>
              <w:t>560784.17</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lang w:val="en-AU" w:eastAsia="ro-RO"/>
              </w:rPr>
            </w:pPr>
            <w:r>
              <w:rPr>
                <w:color w:val="000000"/>
              </w:rPr>
              <w:t>285261.28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12121"/>
              </w:rPr>
              <w:t>329</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1A1A1A"/>
              </w:rPr>
              <w:t>561174.80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C0C0C"/>
              </w:rPr>
              <w:t>285146.90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330</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212121"/>
              </w:rPr>
              <w:t>561324.35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C0C0C"/>
              </w:rPr>
              <w:t>284773.31</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331</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1A1A1A"/>
              </w:rPr>
              <w:t>557864.54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181818"/>
              </w:rPr>
              <w:t>281300.82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313131"/>
              </w:rPr>
              <w:t>332</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181818"/>
              </w:rPr>
              <w:t>557924.05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131313"/>
              </w:rPr>
              <w:t>281265.10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12121"/>
              </w:rPr>
              <w:t>333</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A0A0A"/>
              </w:rPr>
              <w:t>557958.22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111111"/>
              </w:rPr>
              <w:t>281329.18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82828"/>
              </w:rPr>
              <w:t>334</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F0F0F"/>
              </w:rPr>
              <w:t>557892.65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t>281350.80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F2F2F"/>
              </w:rPr>
              <w:t>335</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A0A0A"/>
              </w:rPr>
              <w:t>558180.61</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E0E0E"/>
              </w:rPr>
              <w:t>282296.12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42424"/>
              </w:rPr>
              <w:t>336</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00000"/>
              </w:rPr>
              <w:t>558127.58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C0C0C"/>
              </w:rPr>
              <w:t>282694.99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31313"/>
              </w:rPr>
              <w:t>337</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F0F0F"/>
              </w:rPr>
              <w:t>558053.44</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t>283043.78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0C0C0C"/>
              </w:rPr>
              <w:t>338</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00000"/>
              </w:rPr>
              <w:t>558198.22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E0E0E"/>
              </w:rPr>
              <w:t>283435.02</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32323"/>
              </w:rPr>
              <w:t>339</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A0A0A"/>
              </w:rPr>
              <w:t>558015.00</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E0E0E"/>
              </w:rPr>
              <w:t>283647.59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340</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F0F0F"/>
              </w:rPr>
              <w:t>557857.99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E0E0E"/>
              </w:rPr>
              <w:t>283064.09</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C1C1C"/>
              </w:rPr>
              <w:t>341</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00000"/>
              </w:rPr>
              <w:t>557820.62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E0E0E"/>
              </w:rPr>
              <w:t>282447.83</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242424"/>
              </w:rPr>
              <w:t>342</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E0E0E"/>
              </w:rPr>
              <w:t>557876.18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111111"/>
              </w:rPr>
              <w:t>282179.57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D1D1D"/>
              </w:rPr>
              <w:t>343</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1C1C1C"/>
              </w:rPr>
              <w:t>560467.05</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131313"/>
              </w:rPr>
              <w:t>282470.60</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344</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111111"/>
              </w:rPr>
              <w:t>560502.82</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t>282629.78</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345</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A0A0A"/>
              </w:rPr>
              <w:t>560425.69</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t>282601.57</w:t>
            </w:r>
          </w:p>
        </w:tc>
      </w:tr>
      <w:tr>
        <w:trPr>
          <w:trHeight w:val="240" w:hRule="atLeast"/>
        </w:trPr>
        <w:tc>
          <w:tcPr>
            <w:tcW w:w="922" w:type="dxa"/>
            <w:tcBorders>
              <w:top w:val="single" w:sz="4" w:space="0" w:color="000000"/>
              <w:left w:val="single" w:sz="4" w:space="0" w:color="000000"/>
              <w:bottom w:val="single" w:sz="4" w:space="0" w:color="000000"/>
            </w:tcBorders>
          </w:tcPr>
          <w:p>
            <w:pPr>
              <w:pStyle w:val="Normal"/>
              <w:jc w:val="center"/>
              <w:rPr>
                <w:color w:val="000000"/>
              </w:rPr>
            </w:pPr>
            <w:r>
              <w:rPr>
                <w:color w:val="1F1F1F"/>
              </w:rPr>
              <w:t>346</w:t>
            </w:r>
          </w:p>
        </w:tc>
        <w:tc>
          <w:tcPr>
            <w:tcW w:w="1837" w:type="dxa"/>
            <w:tcBorders>
              <w:top w:val="single" w:sz="4" w:space="0" w:color="000000"/>
              <w:left w:val="single" w:sz="4" w:space="0" w:color="000000"/>
              <w:bottom w:val="single" w:sz="4" w:space="0" w:color="000000"/>
            </w:tcBorders>
          </w:tcPr>
          <w:p>
            <w:pPr>
              <w:pStyle w:val="Normal"/>
              <w:jc w:val="center"/>
              <w:rPr>
                <w:color w:val="000000"/>
              </w:rPr>
            </w:pPr>
            <w:r>
              <w:rPr>
                <w:color w:val="0F0F0F"/>
              </w:rPr>
              <w:t>560365.68</w:t>
            </w:r>
          </w:p>
        </w:tc>
        <w:tc>
          <w:tcPr>
            <w:tcW w:w="2198"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t>282564.33</w:t>
            </w:r>
          </w:p>
        </w:tc>
      </w:tr>
    </w:tbl>
    <w:p>
      <w:pPr>
        <w:pStyle w:val="Normal"/>
        <w:rPr>
          <w:i/>
          <w:i/>
          <w:sz w:val="20"/>
          <w:szCs w:val="20"/>
          <w:lang w:val="ro-RO" w:eastAsia="ro-RO"/>
        </w:rPr>
      </w:pPr>
      <w:r>
        <w:rPr/>
      </w:r>
    </w:p>
    <w:sectPr>
      <w:footerReference w:type="default" r:id="rId2"/>
      <w:type w:val="nextPage"/>
      <w:pgSz w:w="11906" w:h="16838"/>
      <w:pgMar w:left="1701" w:right="561" w:header="0" w:top="1140" w:footer="720" w:bottom="11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Cambria">
    <w:charset w:val="00"/>
    <w:family w:val="roman"/>
    <w:pitch w:val="variable"/>
  </w:font>
  <w:font w:name="Helvetica">
    <w:altName w:val="Arial"/>
    <w:charset w:val="00"/>
    <w:family w:val="roman"/>
    <w:pitch w:val="variable"/>
  </w:font>
  <w:font w:name="Calibri">
    <w:charset w:val="00"/>
    <w:family w:val="roman"/>
    <w:pitch w:val="variable"/>
  </w:font>
  <w:font w:name="Liberation Serif">
    <w:altName w:val="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pStyle w:val="Heading2"/>
      <w:numFmt w:val="none"/>
      <w:suff w:val="nothing"/>
      <w:lvlText w:val=""/>
      <w:lvlJc w:val="left"/>
      <w:pPr>
        <w:ind w:left="0" w:hanging="0"/>
      </w:pPr>
    </w:lvl>
    <w:lvl w:ilvl="2">
      <w:start w:val="1"/>
      <w:pStyle w:val="Heading3"/>
      <w:numFmt w:val="none"/>
      <w:suff w:val="nothing"/>
      <w:lvlText w:val=""/>
      <w:lvlJc w:val="left"/>
      <w:pPr>
        <w:ind w:left="0" w:hanging="0"/>
      </w:pPr>
    </w:lvl>
    <w:lvl w:ilvl="3">
      <w:start w:val="1"/>
      <w:pStyle w:val="Heading4"/>
      <w:numFmt w:val="none"/>
      <w:suff w:val="nothing"/>
      <w:lvlText w:val=""/>
      <w:lvlJc w:val="left"/>
      <w:pPr>
        <w:ind w:left="0" w:hanging="0"/>
      </w:pPr>
    </w:lvl>
    <w:lvl w:ilvl="4">
      <w:start w:val="1"/>
      <w:pStyle w:val="Heading5"/>
      <w:numFmt w:val="none"/>
      <w:suff w:val="nothing"/>
      <w:lvlText w:val=""/>
      <w:lvlJc w:val="left"/>
      <w:pPr>
        <w:ind w:left="0" w:hanging="0"/>
      </w:pPr>
    </w:lvl>
    <w:lvl w:ilvl="5">
      <w:start w:val="1"/>
      <w:pStyle w:val="Heading6"/>
      <w:numFmt w:val="none"/>
      <w:suff w:val="nothing"/>
      <w:lvlText w:val=""/>
      <w:lvlJc w:val="left"/>
      <w:pPr>
        <w:ind w:left="0" w:hanging="0"/>
      </w:pPr>
    </w:lvl>
    <w:lvl w:ilvl="6">
      <w:start w:val="1"/>
      <w:pStyle w:val="Heading7"/>
      <w:numFmt w:val="none"/>
      <w:suff w:val="nothing"/>
      <w:lvlText w:val=""/>
      <w:lvlJc w:val="left"/>
      <w:pPr>
        <w:ind w:left="0" w:hanging="0"/>
      </w:pPr>
    </w:lvl>
    <w:lvl w:ilvl="7">
      <w:start w:val="1"/>
      <w:pStyle w:val="Heading8"/>
      <w:numFmt w:val="none"/>
      <w:suff w:val="nothing"/>
      <w:lvlText w:val=""/>
      <w:lvlJc w:val="left"/>
      <w:pPr>
        <w:ind w:left="0" w:hanging="0"/>
      </w:pPr>
    </w:lvl>
    <w:lvl w:ilvl="8">
      <w:start w:val="1"/>
      <w:pStyle w:val="Heading9"/>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1"/>
      <w:numFmt w:val="lowerLetter"/>
      <w:lvlText w:val="%1)"/>
      <w:lvlJc w:val="left"/>
      <w:pPr>
        <w:tabs>
          <w:tab w:val="num" w:pos="720"/>
        </w:tabs>
        <w:ind w:left="360" w:hanging="360"/>
      </w:pPr>
      <w:rPr>
        <w:sz w:val="23"/>
        <w:szCs w:val="23"/>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lvl w:ilvl="0">
      <w:start w:val="1"/>
      <w:numFmt w:val="bullet"/>
      <w:lvlText w:val=""/>
      <w:lvlJc w:val="left"/>
      <w:pPr>
        <w:ind w:left="1034" w:hanging="183"/>
      </w:pPr>
      <w:rPr>
        <w:rFonts w:ascii="Symbol" w:hAnsi="Symbol" w:cs="Symbol" w:hint="default"/>
        <w:sz w:val="24"/>
        <w:szCs w:val="24"/>
        <w:w w:val="99"/>
        <w:rFonts w:cs="Symbol"/>
        <w:lang w:val="ro-RO" w:bidi="ar-SA"/>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5">
    <w:lvl w:ilvl="0">
      <w:start w:val="1"/>
      <w:numFmt w:val="decimal"/>
      <w:lvlText w:val="%1."/>
      <w:lvlJc w:val="left"/>
      <w:pPr>
        <w:ind w:left="1080" w:hanging="360"/>
      </w:pPr>
      <w:rPr>
        <w:sz w:val="24"/>
        <w:szCs w:val="24"/>
        <w:iCs/>
        <w:bCs/>
        <w:lang w:val="ro-RO"/>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6">
    <w:lvl w:ilvl="0">
      <w:start w:val="1"/>
      <w:numFmt w:val="decimal"/>
      <w:lvlText w:val="%1."/>
      <w:lvlJc w:val="left"/>
      <w:pPr>
        <w:tabs>
          <w:tab w:val="num" w:pos="170"/>
        </w:tabs>
        <w:ind w:left="0" w:firstLine="170"/>
      </w:pPr>
      <w:rPr>
        <w:sz w:val="20"/>
        <w:i w:val="false"/>
        <w:b w:val="false"/>
        <w:szCs w:val="20"/>
        <w:rFonts w:cs="Times New Roman"/>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7">
    <w:lvl w:ilvl="0">
      <w:start w:val="1"/>
      <w:numFmt w:val="bullet"/>
      <w:lvlText w:val=""/>
      <w:lvlJc w:val="left"/>
      <w:pPr>
        <w:ind w:left="1034" w:hanging="183"/>
      </w:pPr>
      <w:rPr>
        <w:rFonts w:ascii="Symbol" w:hAnsi="Symbol" w:cs="Symbol" w:hint="default"/>
        <w:sz w:val="24"/>
        <w:szCs w:val="24"/>
        <w:w w:val="99"/>
        <w:rFonts w:cs="Symbol"/>
        <w:lang w:val="ro-RO" w:bidi="ar-SA"/>
      </w:rPr>
    </w:lvl>
    <w:lvl w:ilvl="1">
      <w:start w:val="1"/>
      <w:numFmt w:val="bullet"/>
      <w:lvlText w:val=""/>
      <w:lvlJc w:val="left"/>
      <w:pPr>
        <w:ind w:left="1676" w:hanging="178"/>
      </w:pPr>
      <w:rPr>
        <w:rFonts w:ascii="Symbol" w:hAnsi="Symbol" w:cs="Symbol" w:hint="default"/>
        <w:sz w:val="24"/>
        <w:szCs w:val="24"/>
        <w:w w:val="99"/>
        <w:rFonts w:cs="Symbol"/>
        <w:lang w:val="ro-RO" w:bidi="ar-SA"/>
      </w:rPr>
    </w:lvl>
    <w:lvl w:ilvl="2">
      <w:start w:val="1"/>
      <w:numFmt w:val="bullet"/>
      <w:lvlText w:val="•"/>
      <w:lvlJc w:val="left"/>
      <w:pPr>
        <w:ind w:left="2648" w:hanging="178"/>
      </w:pPr>
      <w:rPr>
        <w:rFonts w:ascii="Liberation Serif" w:hAnsi="Liberation Serif" w:cs="Liberation Serif" w:hint="default"/>
        <w:rFonts w:cs="Liberation Serif"/>
        <w:lang w:val="ro-RO" w:bidi="ar-SA"/>
      </w:rPr>
    </w:lvl>
    <w:lvl w:ilvl="3">
      <w:start w:val="1"/>
      <w:numFmt w:val="bullet"/>
      <w:lvlText w:val="•"/>
      <w:lvlJc w:val="left"/>
      <w:pPr>
        <w:ind w:left="3617" w:hanging="178"/>
      </w:pPr>
      <w:rPr>
        <w:rFonts w:ascii="Liberation Serif" w:hAnsi="Liberation Serif" w:cs="Liberation Serif" w:hint="default"/>
        <w:rFonts w:cs="Liberation Serif"/>
        <w:lang w:val="ro-RO" w:bidi="ar-SA"/>
      </w:rPr>
    </w:lvl>
    <w:lvl w:ilvl="4">
      <w:start w:val="1"/>
      <w:numFmt w:val="bullet"/>
      <w:lvlText w:val="•"/>
      <w:lvlJc w:val="left"/>
      <w:pPr>
        <w:ind w:left="4586" w:hanging="178"/>
      </w:pPr>
      <w:rPr>
        <w:rFonts w:ascii="Liberation Serif" w:hAnsi="Liberation Serif" w:cs="Liberation Serif" w:hint="default"/>
        <w:rFonts w:cs="Liberation Serif"/>
        <w:lang w:val="ro-RO" w:bidi="ar-SA"/>
      </w:rPr>
    </w:lvl>
    <w:lvl w:ilvl="5">
      <w:start w:val="1"/>
      <w:numFmt w:val="bullet"/>
      <w:lvlText w:val="•"/>
      <w:lvlJc w:val="left"/>
      <w:pPr>
        <w:ind w:left="5555" w:hanging="178"/>
      </w:pPr>
      <w:rPr>
        <w:rFonts w:ascii="Liberation Serif" w:hAnsi="Liberation Serif" w:cs="Liberation Serif" w:hint="default"/>
        <w:rFonts w:cs="Liberation Serif"/>
        <w:lang w:val="ro-RO" w:bidi="ar-SA"/>
      </w:rPr>
    </w:lvl>
    <w:lvl w:ilvl="6">
      <w:start w:val="1"/>
      <w:numFmt w:val="bullet"/>
      <w:lvlText w:val="•"/>
      <w:lvlJc w:val="left"/>
      <w:pPr>
        <w:ind w:left="6524" w:hanging="178"/>
      </w:pPr>
      <w:rPr>
        <w:rFonts w:ascii="Liberation Serif" w:hAnsi="Liberation Serif" w:cs="Liberation Serif" w:hint="default"/>
        <w:rFonts w:cs="Liberation Serif"/>
        <w:lang w:val="ro-RO" w:bidi="ar-SA"/>
      </w:rPr>
    </w:lvl>
    <w:lvl w:ilvl="7">
      <w:start w:val="1"/>
      <w:numFmt w:val="bullet"/>
      <w:lvlText w:val="•"/>
      <w:lvlJc w:val="left"/>
      <w:pPr>
        <w:ind w:left="7493" w:hanging="178"/>
      </w:pPr>
      <w:rPr>
        <w:rFonts w:ascii="Liberation Serif" w:hAnsi="Liberation Serif" w:cs="Liberation Serif" w:hint="default"/>
        <w:rFonts w:cs="Liberation Serif"/>
        <w:lang w:val="ro-RO" w:bidi="ar-SA"/>
      </w:rPr>
    </w:lvl>
    <w:lvl w:ilvl="8">
      <w:start w:val="1"/>
      <w:numFmt w:val="bullet"/>
      <w:lvlText w:val="•"/>
      <w:lvlJc w:val="left"/>
      <w:pPr>
        <w:ind w:left="8462" w:hanging="178"/>
      </w:pPr>
      <w:rPr>
        <w:rFonts w:ascii="Liberation Serif" w:hAnsi="Liberation Serif" w:cs="Liberation Serif" w:hint="default"/>
        <w:rFonts w:cs="Liberation Serif"/>
        <w:lang w:val="ro-RO" w:bidi="ar-SA"/>
      </w:rPr>
    </w:lvl>
  </w:abstractNum>
  <w:abstractNum w:abstractNumId="8">
    <w:lvl w:ilvl="0">
      <w:start w:val="2"/>
      <w:numFmt w:val="upperLetter"/>
      <w:lvlText w:val="%1"/>
      <w:lvlJc w:val="left"/>
      <w:pPr>
        <w:ind w:left="879" w:hanging="644"/>
      </w:pPr>
      <w:rPr>
        <w:lang w:val="ro-RO" w:bidi="ar-SA"/>
      </w:rPr>
    </w:lvl>
    <w:lvl w:ilvl="1">
      <w:start w:val="1"/>
      <w:numFmt w:val="decimal"/>
      <w:lvlText w:val="%1.%2"/>
      <w:lvlJc w:val="left"/>
      <w:pPr>
        <w:ind w:left="879" w:hanging="644"/>
      </w:pPr>
      <w:rPr>
        <w:lang w:val="ro-RO" w:bidi="ar-SA"/>
      </w:rPr>
    </w:lvl>
    <w:lvl w:ilvl="2">
      <w:start w:val="1"/>
      <w:numFmt w:val="decimal"/>
      <w:lvlText w:val="%1.%2.%3."/>
      <w:lvlJc w:val="left"/>
      <w:pPr>
        <w:ind w:left="644" w:hanging="644"/>
      </w:pPr>
      <w:rPr>
        <w:sz w:val="24"/>
        <w:spacing w:val="-2"/>
        <w:i/>
        <w:b/>
        <w:szCs w:val="24"/>
        <w:iCs/>
        <w:bCs/>
        <w:w w:val="99"/>
        <w:rFonts w:eastAsia="Times New Roman" w:cs="Times New Roman"/>
        <w:lang w:val="ro-RO" w:bidi="ar-SA"/>
      </w:rPr>
    </w:lvl>
    <w:lvl w:ilvl="3">
      <w:start w:val="1"/>
      <w:numFmt w:val="lowerLetter"/>
      <w:lvlText w:val="%4)"/>
      <w:lvlJc w:val="left"/>
      <w:pPr>
        <w:ind w:left="236" w:hanging="303"/>
      </w:pPr>
      <w:rPr>
        <w:sz w:val="24"/>
        <w:i/>
        <w:u w:val="single" w:color="000000"/>
        <w:szCs w:val="24"/>
        <w:iCs/>
        <w:w w:val="99"/>
        <w:rFonts w:eastAsia="Times New Roman" w:cs="Times New Roman"/>
        <w:color w:val="000000"/>
        <w:lang w:val="ro-RO" w:bidi="ar-SA"/>
      </w:rPr>
    </w:lvl>
    <w:lvl w:ilvl="4">
      <w:start w:val="1"/>
      <w:numFmt w:val="bullet"/>
      <w:lvlText w:val="•"/>
      <w:lvlJc w:val="left"/>
      <w:pPr>
        <w:ind w:left="4053" w:hanging="303"/>
      </w:pPr>
      <w:rPr>
        <w:rFonts w:ascii="Liberation Serif" w:hAnsi="Liberation Serif" w:cs="Liberation Serif" w:hint="default"/>
        <w:rFonts w:cs="Liberation Serif"/>
        <w:lang w:val="ro-RO" w:bidi="ar-SA"/>
      </w:rPr>
    </w:lvl>
    <w:lvl w:ilvl="5">
      <w:start w:val="1"/>
      <w:numFmt w:val="bullet"/>
      <w:lvlText w:val="•"/>
      <w:lvlJc w:val="left"/>
      <w:pPr>
        <w:ind w:left="5111" w:hanging="303"/>
      </w:pPr>
      <w:rPr>
        <w:rFonts w:ascii="Liberation Serif" w:hAnsi="Liberation Serif" w:cs="Liberation Serif" w:hint="default"/>
        <w:rFonts w:cs="Liberation Serif"/>
        <w:lang w:val="ro-RO" w:bidi="ar-SA"/>
      </w:rPr>
    </w:lvl>
    <w:lvl w:ilvl="6">
      <w:start w:val="1"/>
      <w:numFmt w:val="bullet"/>
      <w:lvlText w:val="•"/>
      <w:lvlJc w:val="left"/>
      <w:pPr>
        <w:ind w:left="6168" w:hanging="303"/>
      </w:pPr>
      <w:rPr>
        <w:rFonts w:ascii="Liberation Serif" w:hAnsi="Liberation Serif" w:cs="Liberation Serif" w:hint="default"/>
        <w:rFonts w:cs="Liberation Serif"/>
        <w:lang w:val="ro-RO" w:bidi="ar-SA"/>
      </w:rPr>
    </w:lvl>
    <w:lvl w:ilvl="7">
      <w:start w:val="1"/>
      <w:numFmt w:val="bullet"/>
      <w:lvlText w:val="•"/>
      <w:lvlJc w:val="left"/>
      <w:pPr>
        <w:ind w:left="7226" w:hanging="303"/>
      </w:pPr>
      <w:rPr>
        <w:rFonts w:ascii="Liberation Serif" w:hAnsi="Liberation Serif" w:cs="Liberation Serif" w:hint="default"/>
        <w:rFonts w:cs="Liberation Serif"/>
        <w:lang w:val="ro-RO" w:bidi="ar-SA"/>
      </w:rPr>
    </w:lvl>
    <w:lvl w:ilvl="8">
      <w:start w:val="1"/>
      <w:numFmt w:val="bullet"/>
      <w:lvlText w:val="•"/>
      <w:lvlJc w:val="left"/>
      <w:pPr>
        <w:ind w:left="8284" w:hanging="303"/>
      </w:pPr>
      <w:rPr>
        <w:rFonts w:ascii="Liberation Serif" w:hAnsi="Liberation Serif" w:cs="Liberation Serif" w:hint="default"/>
        <w:rFonts w:cs="Liberation Serif"/>
        <w:lang w:val="ro-RO" w:bidi="ar-S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95"/>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Cs w:val="24"/>
        <w:lang w:val="en-US"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1721"/>
    <w:pPr>
      <w:widowControl/>
      <w:suppressAutoHyphens w:val="true"/>
      <w:bidi w:val="0"/>
      <w:spacing w:before="0" w:after="0"/>
      <w:jc w:val="left"/>
    </w:pPr>
    <w:rPr>
      <w:rFonts w:ascii="Times New Roman" w:hAnsi="Times New Roman" w:eastAsia="Times New Roman" w:cs="Times New Roman"/>
      <w:color w:val="auto"/>
      <w:kern w:val="0"/>
      <w:sz w:val="24"/>
      <w:szCs w:val="24"/>
      <w:lang w:val="en-US" w:eastAsia="zh-CN" w:bidi="ar-SA"/>
    </w:rPr>
  </w:style>
  <w:style w:type="paragraph" w:styleId="Heading1">
    <w:name w:val="Heading 1"/>
    <w:basedOn w:val="Normal"/>
    <w:next w:val="Normal"/>
    <w:uiPriority w:val="9"/>
    <w:qFormat/>
    <w:pPr>
      <w:keepNext w:val="true"/>
      <w:numPr>
        <w:ilvl w:val="0"/>
        <w:numId w:val="1"/>
      </w:numPr>
      <w:jc w:val="center"/>
      <w:outlineLvl w:val="0"/>
    </w:pPr>
    <w:rPr>
      <w:b/>
      <w:caps/>
      <w:sz w:val="28"/>
      <w:szCs w:val="28"/>
    </w:rPr>
  </w:style>
  <w:style w:type="paragraph" w:styleId="Heading2">
    <w:name w:val="Heading 2"/>
    <w:basedOn w:val="Normal"/>
    <w:next w:val="Normal"/>
    <w:uiPriority w:val="9"/>
    <w:unhideWhenUsed/>
    <w:qFormat/>
    <w:pPr>
      <w:keepNext w:val="true"/>
      <w:numPr>
        <w:ilvl w:val="1"/>
        <w:numId w:val="1"/>
      </w:numPr>
      <w:ind w:left="260" w:hanging="0"/>
      <w:jc w:val="center"/>
      <w:outlineLvl w:val="1"/>
    </w:pPr>
    <w:rPr>
      <w:b/>
      <w:caps/>
      <w:szCs w:val="20"/>
    </w:rPr>
  </w:style>
  <w:style w:type="paragraph" w:styleId="Heading3">
    <w:name w:val="Heading 3"/>
    <w:basedOn w:val="Normal"/>
    <w:next w:val="Normal"/>
    <w:uiPriority w:val="9"/>
    <w:unhideWhenUsed/>
    <w:qFormat/>
    <w:pPr>
      <w:keepNext w:val="true"/>
      <w:numPr>
        <w:ilvl w:val="2"/>
        <w:numId w:val="1"/>
      </w:numPr>
      <w:jc w:val="center"/>
      <w:outlineLvl w:val="2"/>
    </w:pPr>
    <w:rPr>
      <w:b/>
      <w:bCs/>
      <w:szCs w:val="20"/>
    </w:rPr>
  </w:style>
  <w:style w:type="paragraph" w:styleId="Heading4">
    <w:name w:val="Heading 4"/>
    <w:basedOn w:val="Normal"/>
    <w:next w:val="Normal"/>
    <w:uiPriority w:val="9"/>
    <w:semiHidden/>
    <w:unhideWhenUsed/>
    <w:qFormat/>
    <w:pPr>
      <w:keepNext w:val="true"/>
      <w:numPr>
        <w:ilvl w:val="3"/>
        <w:numId w:val="1"/>
      </w:numPr>
      <w:spacing w:before="240" w:after="60"/>
      <w:outlineLvl w:val="3"/>
    </w:pPr>
    <w:rPr>
      <w:b/>
      <w:bCs/>
      <w:sz w:val="28"/>
      <w:szCs w:val="28"/>
      <w:lang w:val="ro-RO"/>
    </w:rPr>
  </w:style>
  <w:style w:type="paragraph" w:styleId="Heading5">
    <w:name w:val="Heading 5"/>
    <w:basedOn w:val="Normal"/>
    <w:next w:val="Normal"/>
    <w:uiPriority w:val="9"/>
    <w:semiHidden/>
    <w:unhideWhenUsed/>
    <w:qFormat/>
    <w:pPr>
      <w:keepNext w:val="true"/>
      <w:numPr>
        <w:ilvl w:val="4"/>
        <w:numId w:val="1"/>
      </w:numPr>
      <w:outlineLvl w:val="4"/>
    </w:pPr>
    <w:rPr>
      <w:b/>
      <w:color w:val="000000"/>
      <w:szCs w:val="20"/>
      <w:lang w:val="ro-RO"/>
    </w:rPr>
  </w:style>
  <w:style w:type="paragraph" w:styleId="Heading6">
    <w:name w:val="Heading 6"/>
    <w:basedOn w:val="Normal"/>
    <w:next w:val="Normal"/>
    <w:uiPriority w:val="9"/>
    <w:semiHidden/>
    <w:unhideWhenUsed/>
    <w:qFormat/>
    <w:pPr>
      <w:keepNext w:val="true"/>
      <w:numPr>
        <w:ilvl w:val="5"/>
        <w:numId w:val="1"/>
      </w:numPr>
      <w:outlineLvl w:val="5"/>
    </w:pPr>
    <w:rPr>
      <w:szCs w:val="20"/>
      <w:lang w:val="ro-RO"/>
    </w:rPr>
  </w:style>
  <w:style w:type="paragraph" w:styleId="Heading7">
    <w:name w:val="Heading 7"/>
    <w:basedOn w:val="Normal"/>
    <w:next w:val="Normal"/>
    <w:qFormat/>
    <w:pPr>
      <w:keepNext w:val="true"/>
      <w:numPr>
        <w:ilvl w:val="6"/>
        <w:numId w:val="1"/>
      </w:numPr>
      <w:jc w:val="center"/>
      <w:outlineLvl w:val="6"/>
    </w:pPr>
    <w:rPr>
      <w:sz w:val="16"/>
      <w:szCs w:val="20"/>
      <w:u w:val="single"/>
      <w:lang w:val="ro-RO"/>
    </w:rPr>
  </w:style>
  <w:style w:type="paragraph" w:styleId="Heading8">
    <w:name w:val="Heading 8"/>
    <w:basedOn w:val="Normal"/>
    <w:next w:val="Normal"/>
    <w:qFormat/>
    <w:pPr>
      <w:keepNext w:val="true"/>
      <w:numPr>
        <w:ilvl w:val="7"/>
        <w:numId w:val="1"/>
      </w:numPr>
      <w:ind w:right="-85" w:hanging="142"/>
      <w:jc w:val="center"/>
      <w:outlineLvl w:val="7"/>
    </w:pPr>
    <w:rPr>
      <w:szCs w:val="20"/>
      <w:lang w:val="ro-RO"/>
    </w:rPr>
  </w:style>
  <w:style w:type="paragraph" w:styleId="Heading9">
    <w:name w:val="Heading 9"/>
    <w:basedOn w:val="Normal"/>
    <w:next w:val="Normal"/>
    <w:qFormat/>
    <w:pPr>
      <w:keepNext w:val="true"/>
      <w:numPr>
        <w:ilvl w:val="8"/>
        <w:numId w:val="1"/>
      </w:numPr>
      <w:jc w:val="center"/>
      <w:outlineLvl w:val="8"/>
    </w:pPr>
    <w:rPr>
      <w:rFonts w:ascii="Arial" w:hAnsi="Arial" w:cs="Arial"/>
      <w:b/>
      <w:szCs w:val="20"/>
      <w:lang w:val="ro-RO"/>
    </w:rPr>
  </w:style>
  <w:style w:type="character" w:styleId="DefaultParagraphFont" w:default="1">
    <w:name w:val="Default Paragraph Font"/>
    <w:uiPriority w:val="1"/>
    <w:semiHidden/>
    <w:unhideWhenUsed/>
    <w:qFormat/>
    <w:rPr/>
  </w:style>
  <w:style w:type="character" w:styleId="WW8Num1z0" w:customStyle="1">
    <w:name w:val="WW8Num1z0"/>
    <w:qFormat/>
    <w:rPr>
      <w:sz w:val="23"/>
      <w:szCs w:val="23"/>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Symbol" w:cs="Symbol"/>
      <w:w w:val="99"/>
      <w:sz w:val="24"/>
      <w:szCs w:val="24"/>
      <w:lang w:val="ro-RO" w:bidi="ar-SA"/>
    </w:rPr>
  </w:style>
  <w:style w:type="character" w:styleId="WW8Num2z2" w:customStyle="1">
    <w:name w:val="WW8Num2z2"/>
    <w:qFormat/>
    <w:rPr>
      <w:lang w:val="ro-RO" w:bidi="ar-SA"/>
    </w:rPr>
  </w:style>
  <w:style w:type="character" w:styleId="WW8Num3z0" w:customStyle="1">
    <w:name w:val="WW8Num3z0"/>
    <w:qFormat/>
    <w:rPr>
      <w:lang w:val="ro-RO" w:bidi="ar-SA"/>
    </w:rPr>
  </w:style>
  <w:style w:type="character" w:styleId="WW8Num3z2" w:customStyle="1">
    <w:name w:val="WW8Num3z2"/>
    <w:qFormat/>
    <w:rPr>
      <w:rFonts w:ascii="Times New Roman" w:hAnsi="Times New Roman" w:eastAsia="Times New Roman" w:cs="Times New Roman"/>
      <w:b/>
      <w:bCs/>
      <w:i/>
      <w:iCs/>
      <w:spacing w:val="-2"/>
      <w:w w:val="99"/>
      <w:sz w:val="24"/>
      <w:szCs w:val="24"/>
      <w:lang w:val="ro-RO" w:bidi="ar-SA"/>
    </w:rPr>
  </w:style>
  <w:style w:type="character" w:styleId="WW8Num3z3" w:customStyle="1">
    <w:name w:val="WW8Num3z3"/>
    <w:qFormat/>
    <w:rPr>
      <w:rFonts w:ascii="Times New Roman" w:hAnsi="Times New Roman" w:eastAsia="Times New Roman" w:cs="Times New Roman"/>
      <w:i/>
      <w:iCs/>
      <w:color w:val="000000"/>
      <w:w w:val="99"/>
      <w:sz w:val="24"/>
      <w:szCs w:val="24"/>
      <w:u w:val="single" w:color="000000"/>
      <w:lang w:val="ro-RO" w:bidi="ar-SA"/>
    </w:rPr>
  </w:style>
  <w:style w:type="character" w:styleId="WW8Num4z0" w:customStyle="1">
    <w:name w:val="WW8Num4z0"/>
    <w:qFormat/>
    <w:rPr>
      <w:bCs/>
      <w:iCs/>
      <w:sz w:val="24"/>
      <w:szCs w:val="24"/>
      <w:lang w:val="ro-RO"/>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rFonts w:ascii="Times New Roman" w:hAnsi="Times New Roman" w:eastAsia="Times New Roman" w:cs="Times New Roman"/>
      <w:color w:val="000000"/>
      <w:w w:val="99"/>
      <w:sz w:val="24"/>
      <w:szCs w:val="24"/>
      <w:lang w:val="ro-RO" w:bidi="ar-SA"/>
    </w:rPr>
  </w:style>
  <w:style w:type="character" w:styleId="WW8Num5z1" w:customStyle="1">
    <w:name w:val="WW8Num5z1"/>
    <w:qFormat/>
    <w:rPr>
      <w:lang w:val="ro-RO" w:bidi="ar-SA"/>
    </w:rPr>
  </w:style>
  <w:style w:type="character" w:styleId="WW8Num6z0" w:customStyle="1">
    <w:name w:val="WW8Num6z0"/>
    <w:qFormat/>
    <w:rPr>
      <w:rFonts w:ascii="Times New Roman" w:hAnsi="Times New Roman" w:cs="Times New Roman"/>
      <w:b w:val="false"/>
      <w:i w:val="false"/>
      <w:sz w:val="20"/>
      <w:szCs w:val="20"/>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Fontdeparagrafimplicit" w:customStyle="1">
    <w:name w:val="Font de paragraf implicit"/>
    <w:qFormat/>
    <w:rPr/>
  </w:style>
  <w:style w:type="character" w:styleId="Pagenumber">
    <w:name w:val="page number"/>
    <w:basedOn w:val="Fontdeparagrafimplicit"/>
    <w:qFormat/>
    <w:rPr/>
  </w:style>
  <w:style w:type="character" w:styleId="TextsimpluCaracter1" w:customStyle="1">
    <w:name w:val="Text simplu Caracter1"/>
    <w:qFormat/>
    <w:rPr>
      <w:rFonts w:ascii="Courier New" w:hAnsi="Courier New" w:cs="Courier New"/>
      <w:lang w:val="ro-RO" w:bidi="ar-SA"/>
    </w:rPr>
  </w:style>
  <w:style w:type="character" w:styleId="CaracterCaracter1" w:customStyle="1">
    <w:name w:val="Caracter Caracter1"/>
    <w:qFormat/>
    <w:rPr>
      <w:rFonts w:ascii="Courier New" w:hAnsi="Courier New" w:cs="Courier New"/>
      <w:lang w:val="ro-RO" w:bidi="ar-SA"/>
    </w:rPr>
  </w:style>
  <w:style w:type="character" w:styleId="TextsimpluCaracter" w:customStyle="1">
    <w:name w:val="Text simplu Caracter"/>
    <w:qFormat/>
    <w:rPr>
      <w:rFonts w:ascii="Courier New" w:hAnsi="Courier New" w:cs="Courier New"/>
      <w:lang w:val="ro-RO" w:bidi="ar-SA"/>
    </w:rPr>
  </w:style>
  <w:style w:type="character" w:styleId="CharCaracterCaracter" w:customStyle="1">
    <w:name w:val="Char Caracter Caracter"/>
    <w:qFormat/>
    <w:rPr>
      <w:rFonts w:ascii="Courier New" w:hAnsi="Courier New" w:cs="Courier New"/>
      <w:lang w:val="ro-RO" w:bidi="ar-SA"/>
    </w:rPr>
  </w:style>
  <w:style w:type="character" w:styleId="TextChar" w:customStyle="1">
    <w:name w:val="text Char"/>
    <w:qFormat/>
    <w:rPr>
      <w:rFonts w:ascii="Arial" w:hAnsi="Arial" w:cs="Arial"/>
      <w:sz w:val="24"/>
      <w:lang w:val="en-GB" w:bidi="ar-SA"/>
    </w:rPr>
  </w:style>
  <w:style w:type="character" w:styleId="InternetLink">
    <w:name w:val="Hyperlink"/>
    <w:uiPriority w:val="99"/>
    <w:rPr>
      <w:color w:val="0000FF"/>
      <w:u w:val="single"/>
    </w:rPr>
  </w:style>
  <w:style w:type="character" w:styleId="VisitedInternetLink">
    <w:name w:val="FollowedHyperlink"/>
    <w:rPr>
      <w:color w:val="800080"/>
      <w:u w:val="single"/>
    </w:rPr>
  </w:style>
  <w:style w:type="character" w:styleId="ARIALChar" w:customStyle="1">
    <w:name w:val="ARIAL Char"/>
    <w:qFormat/>
    <w:rPr>
      <w:rFonts w:ascii="Arial" w:hAnsi="Arial" w:cs="Arial"/>
      <w:b/>
      <w:sz w:val="24"/>
      <w:lang w:val="ro-RO" w:bidi="ar-SA"/>
    </w:rPr>
  </w:style>
  <w:style w:type="character" w:styleId="FootnoteCharacters" w:customStyle="1">
    <w:name w:val="Footnote Characters"/>
    <w:qFormat/>
    <w:rPr>
      <w:vertAlign w:val="superscript"/>
    </w:rPr>
  </w:style>
  <w:style w:type="character" w:styleId="A" w:customStyle="1">
    <w:name w:val="a"/>
    <w:basedOn w:val="Fontdeparagrafimplicit"/>
    <w:qFormat/>
    <w:rPr/>
  </w:style>
  <w:style w:type="character" w:styleId="CharCaracter" w:customStyle="1">
    <w:name w:val="Char Caracter"/>
    <w:qFormat/>
    <w:rPr>
      <w:rFonts w:ascii="Courier New" w:hAnsi="Courier New" w:cs="Courier New"/>
      <w:lang w:val="ro-RO" w:bidi="ar-SA"/>
    </w:rPr>
  </w:style>
  <w:style w:type="character" w:styleId="CharCaracter2" w:customStyle="1">
    <w:name w:val="Char Caracter2"/>
    <w:qFormat/>
    <w:rPr>
      <w:rFonts w:ascii="Courier New" w:hAnsi="Courier New" w:cs="Courier New"/>
      <w:lang w:val="ro-RO" w:bidi="ar-SA"/>
    </w:rPr>
  </w:style>
  <w:style w:type="character" w:styleId="CharChar" w:customStyle="1">
    <w:name w:val="Char Char"/>
    <w:qFormat/>
    <w:rPr>
      <w:rFonts w:ascii="Courier New" w:hAnsi="Courier New" w:cs="Courier New"/>
      <w:lang w:val="ro-RO" w:bidi="ar-SA"/>
    </w:rPr>
  </w:style>
  <w:style w:type="character" w:styleId="CharCaracter1" w:customStyle="1">
    <w:name w:val="Char Caracter1"/>
    <w:qFormat/>
    <w:rPr>
      <w:rFonts w:ascii="Courier New" w:hAnsi="Courier New" w:cs="Courier New"/>
      <w:lang w:val="ro-RO" w:bidi="ar-SA"/>
    </w:rPr>
  </w:style>
  <w:style w:type="character" w:styleId="CorptextCaracter" w:customStyle="1">
    <w:name w:val="Corp text Caracter"/>
    <w:qFormat/>
    <w:rPr>
      <w:rFonts w:ascii="Arial" w:hAnsi="Arial" w:cs="Arial"/>
      <w:sz w:val="24"/>
      <w:lang w:val="ro-RO" w:bidi="ar-SA"/>
    </w:rPr>
  </w:style>
  <w:style w:type="character" w:styleId="CaracterCaracter" w:customStyle="1">
    <w:name w:val="Caracter Caracter"/>
    <w:qFormat/>
    <w:rPr>
      <w:rFonts w:ascii="Courier New" w:hAnsi="Courier New" w:cs="Courier New"/>
      <w:lang w:val="ro-RO"/>
    </w:rPr>
  </w:style>
  <w:style w:type="character" w:styleId="Titlu1Caracter" w:customStyle="1">
    <w:name w:val="Titlu 1 Caracter"/>
    <w:qFormat/>
    <w:rPr>
      <w:b/>
      <w:caps/>
      <w:sz w:val="28"/>
      <w:szCs w:val="28"/>
      <w:lang w:val="en-US"/>
    </w:rPr>
  </w:style>
  <w:style w:type="character" w:styleId="Titlu2Caracter" w:customStyle="1">
    <w:name w:val="Titlu 2 Caracter"/>
    <w:qFormat/>
    <w:rPr>
      <w:b/>
      <w:caps/>
      <w:sz w:val="24"/>
      <w:lang w:val="en-US"/>
    </w:rPr>
  </w:style>
  <w:style w:type="character" w:styleId="Titlu3Caracter" w:customStyle="1">
    <w:name w:val="Titlu 3 Caracter"/>
    <w:qFormat/>
    <w:rPr>
      <w:b/>
      <w:bCs/>
      <w:sz w:val="24"/>
      <w:lang w:val="en-US"/>
    </w:rPr>
  </w:style>
  <w:style w:type="character" w:styleId="Titlu4Caracter" w:customStyle="1">
    <w:name w:val="Titlu 4 Caracter"/>
    <w:qFormat/>
    <w:rPr>
      <w:b/>
      <w:bCs/>
      <w:sz w:val="28"/>
      <w:szCs w:val="28"/>
      <w:lang w:val="ro-RO" w:bidi="ar-SA"/>
    </w:rPr>
  </w:style>
  <w:style w:type="character" w:styleId="Titlu5Caracter" w:customStyle="1">
    <w:name w:val="Titlu 5 Caracter"/>
    <w:qFormat/>
    <w:rPr>
      <w:b/>
      <w:color w:val="000000"/>
      <w:sz w:val="24"/>
      <w:lang w:val="ro-RO" w:bidi="ar-SA"/>
    </w:rPr>
  </w:style>
  <w:style w:type="character" w:styleId="Titlu6Caracter" w:customStyle="1">
    <w:name w:val="Titlu 6 Caracter"/>
    <w:qFormat/>
    <w:rPr>
      <w:sz w:val="24"/>
      <w:lang w:val="ro-RO" w:bidi="ar-SA"/>
    </w:rPr>
  </w:style>
  <w:style w:type="character" w:styleId="Titlu7Caracter" w:customStyle="1">
    <w:name w:val="Titlu 7 Caracter"/>
    <w:qFormat/>
    <w:rPr>
      <w:sz w:val="16"/>
      <w:u w:val="single"/>
      <w:lang w:val="ro-RO" w:bidi="ar-SA"/>
    </w:rPr>
  </w:style>
  <w:style w:type="character" w:styleId="Titlu8Caracter" w:customStyle="1">
    <w:name w:val="Titlu 8 Caracter"/>
    <w:qFormat/>
    <w:rPr>
      <w:sz w:val="24"/>
      <w:lang w:val="ro-RO" w:bidi="ar-SA"/>
    </w:rPr>
  </w:style>
  <w:style w:type="character" w:styleId="Titlu9Caracter" w:customStyle="1">
    <w:name w:val="Titlu 9 Caracter"/>
    <w:qFormat/>
    <w:rPr>
      <w:rFonts w:ascii="Arial" w:hAnsi="Arial" w:cs="Arial"/>
      <w:b/>
      <w:sz w:val="24"/>
      <w:lang w:val="ro-RO" w:bidi="ar-SA"/>
    </w:rPr>
  </w:style>
  <w:style w:type="character" w:styleId="TitluCaracter" w:customStyle="1">
    <w:name w:val="Titlu Caracter"/>
    <w:qFormat/>
    <w:rPr>
      <w:rFonts w:ascii="Arial" w:hAnsi="Arial" w:cs="Arial"/>
      <w:b/>
      <w:sz w:val="24"/>
      <w:lang w:val="ro-RO" w:bidi="ar-SA"/>
    </w:rPr>
  </w:style>
  <w:style w:type="character" w:styleId="IndentcorptextCaracter" w:customStyle="1">
    <w:name w:val="Indent corp text Caracter"/>
    <w:qFormat/>
    <w:rPr>
      <w:rFonts w:ascii="Arial" w:hAnsi="Arial" w:cs="Arial"/>
      <w:sz w:val="24"/>
      <w:lang w:val="ro-RO" w:bidi="ar-SA"/>
    </w:rPr>
  </w:style>
  <w:style w:type="character" w:styleId="CaracterCaracter8" w:customStyle="1">
    <w:name w:val="Caracter Caracter8"/>
    <w:qFormat/>
    <w:rPr>
      <w:sz w:val="24"/>
      <w:lang w:val="ro-RO" w:bidi="ar-SA"/>
    </w:rPr>
  </w:style>
  <w:style w:type="character" w:styleId="Corptext2Caracter" w:customStyle="1">
    <w:name w:val="Corp text 2 Caracter"/>
    <w:qFormat/>
    <w:rPr>
      <w:rFonts w:ascii="Arial" w:hAnsi="Arial" w:cs="Arial"/>
      <w:lang w:val="ro-RO" w:bidi="ar-SA"/>
    </w:rPr>
  </w:style>
  <w:style w:type="character" w:styleId="AntetCaracter" w:customStyle="1">
    <w:name w:val="Antet Caracter"/>
    <w:qFormat/>
    <w:rPr>
      <w:rFonts w:ascii="Arial" w:hAnsi="Arial" w:cs="Arial"/>
      <w:sz w:val="24"/>
      <w:lang w:val="ro-RO" w:bidi="ar-SA"/>
    </w:rPr>
  </w:style>
  <w:style w:type="character" w:styleId="Indentcorptext2Caracter" w:customStyle="1">
    <w:name w:val="Indent corp text 2 Caracter"/>
    <w:qFormat/>
    <w:rPr>
      <w:rFonts w:ascii="Arial" w:hAnsi="Arial" w:cs="Arial"/>
      <w:sz w:val="24"/>
      <w:lang w:val="ro-RO" w:bidi="ar-SA"/>
    </w:rPr>
  </w:style>
  <w:style w:type="character" w:styleId="Indentcorptext3Caracter" w:customStyle="1">
    <w:name w:val="Indent corp text 3 Caracter"/>
    <w:qFormat/>
    <w:rPr>
      <w:rFonts w:ascii="Arial" w:hAnsi="Arial" w:cs="Arial"/>
      <w:sz w:val="24"/>
      <w:lang w:val="ro-RO" w:bidi="ar-SA"/>
    </w:rPr>
  </w:style>
  <w:style w:type="character" w:styleId="Corptext3Caracter" w:customStyle="1">
    <w:name w:val="Corp text 3 Caracter"/>
    <w:qFormat/>
    <w:rPr>
      <w:b/>
      <w:color w:val="000000"/>
      <w:sz w:val="24"/>
      <w:lang w:val="ro-RO" w:bidi="ar-SA"/>
    </w:rPr>
  </w:style>
  <w:style w:type="character" w:styleId="SubsolCaracter" w:customStyle="1">
    <w:name w:val="Subsol Caracter"/>
    <w:qFormat/>
    <w:rPr>
      <w:sz w:val="24"/>
      <w:szCs w:val="24"/>
      <w:lang w:val="en-US" w:bidi="ar-SA"/>
    </w:rPr>
  </w:style>
  <w:style w:type="character" w:styleId="NormalArialChar" w:customStyle="1">
    <w:name w:val="Normal + Arial Char"/>
    <w:qFormat/>
    <w:rPr>
      <w:rFonts w:ascii="Arial" w:hAnsi="Arial" w:cs="Arial"/>
      <w:sz w:val="16"/>
      <w:szCs w:val="16"/>
      <w:lang w:val="ro-RO" w:bidi="ar-SA"/>
    </w:rPr>
  </w:style>
  <w:style w:type="character" w:styleId="StrongEmphasis" w:customStyle="1">
    <w:name w:val="Strong Emphasis"/>
    <w:qFormat/>
    <w:rPr>
      <w:b/>
      <w:bCs/>
    </w:rPr>
  </w:style>
  <w:style w:type="character" w:styleId="Emphasis">
    <w:name w:val="Emphasis"/>
    <w:qFormat/>
    <w:rPr>
      <w:i/>
      <w:iCs/>
    </w:rPr>
  </w:style>
  <w:style w:type="character" w:styleId="CharChar1" w:customStyle="1">
    <w:name w:val="Char Char1"/>
    <w:qFormat/>
    <w:rPr>
      <w:rFonts w:ascii="Courier New" w:hAnsi="Courier New" w:cs="Courier New"/>
      <w:lang w:val="ro-RO" w:bidi="ar-SA"/>
    </w:rPr>
  </w:style>
  <w:style w:type="character" w:styleId="Caracter1Char" w:customStyle="1">
    <w:name w:val="Caracter1 Char"/>
    <w:qFormat/>
    <w:rPr>
      <w:rFonts w:ascii="Courier New" w:hAnsi="Courier New" w:cs="Courier New"/>
      <w:lang w:val="ro-RO" w:bidi="ar-SA"/>
    </w:rPr>
  </w:style>
  <w:style w:type="character" w:styleId="CharChar11" w:customStyle="1">
    <w:name w:val="Char Char11"/>
    <w:qFormat/>
    <w:rPr>
      <w:rFonts w:ascii="Courier New" w:hAnsi="Courier New" w:cs="Courier New"/>
      <w:lang w:val="ro-RO" w:bidi="ar-SA"/>
    </w:rPr>
  </w:style>
  <w:style w:type="character" w:styleId="CharCharChar1" w:customStyle="1">
    <w:name w:val="Char Char Char1"/>
    <w:qFormat/>
    <w:rPr>
      <w:rFonts w:ascii="Courier New" w:hAnsi="Courier New" w:cs="Courier New"/>
      <w:lang w:val="ro-RO" w:bidi="ar-SA"/>
    </w:rPr>
  </w:style>
  <w:style w:type="character" w:styleId="CaracterCaracterCaracter" w:customStyle="1">
    <w:name w:val="Caracter Caracter Caracter"/>
    <w:qFormat/>
    <w:rPr>
      <w:rFonts w:ascii="Arial" w:hAnsi="Arial" w:cs="Arial"/>
      <w:sz w:val="24"/>
      <w:lang w:val="ro-RO" w:bidi="ar-SA"/>
    </w:rPr>
  </w:style>
  <w:style w:type="character" w:styleId="CaracterCharChar" w:customStyle="1">
    <w:name w:val="Caracter Char Char"/>
    <w:qFormat/>
    <w:rPr>
      <w:rFonts w:ascii="Arial" w:hAnsi="Arial" w:cs="Arial"/>
      <w:sz w:val="24"/>
      <w:lang w:val="ro-RO"/>
    </w:rPr>
  </w:style>
  <w:style w:type="character" w:styleId="EndnoteCharacters" w:customStyle="1">
    <w:name w:val="Endnote Characters"/>
    <w:qFormat/>
    <w:rPr>
      <w:vertAlign w:val="superscript"/>
    </w:rPr>
  </w:style>
  <w:style w:type="character" w:styleId="TextCaracter" w:customStyle="1">
    <w:name w:val="text Caracter"/>
    <w:qFormat/>
    <w:rPr>
      <w:rFonts w:ascii="Arial" w:hAnsi="Arial" w:cs="Arial"/>
      <w:sz w:val="24"/>
      <w:lang w:val="en-GB" w:bidi="ar-SA"/>
    </w:rPr>
  </w:style>
  <w:style w:type="character" w:styleId="CharChar4" w:customStyle="1">
    <w:name w:val="Char Char4"/>
    <w:qFormat/>
    <w:rPr>
      <w:rFonts w:ascii="Courier New" w:hAnsi="Courier New" w:cs="Courier New"/>
      <w:lang w:val="ro-RO" w:bidi="ar-SA"/>
    </w:rPr>
  </w:style>
  <w:style w:type="character" w:styleId="CharCharCaracterCaracter" w:customStyle="1">
    <w:name w:val="Char Char Caracter Caracter"/>
    <w:qFormat/>
    <w:rPr>
      <w:rFonts w:ascii="Courier New" w:hAnsi="Courier New" w:cs="Courier New"/>
      <w:lang w:val="ro-RO" w:bidi="ar-SA"/>
    </w:rPr>
  </w:style>
  <w:style w:type="character" w:styleId="Char1CaracterCaracterCaracterCaracter" w:customStyle="1">
    <w:name w:val="Char1 Caracter Caracter Caracter Caracter"/>
    <w:qFormat/>
    <w:rPr>
      <w:sz w:val="24"/>
      <w:lang w:val="ro-RO" w:bidi="ar-SA"/>
    </w:rPr>
  </w:style>
  <w:style w:type="character" w:styleId="ARIALCaracter" w:customStyle="1">
    <w:name w:val="ARIAL Caracter"/>
    <w:qFormat/>
    <w:rPr>
      <w:rFonts w:ascii="Arial" w:hAnsi="Arial" w:cs="Arial"/>
      <w:sz w:val="24"/>
      <w:lang w:val="ro-RO" w:bidi="ar-SA"/>
    </w:rPr>
  </w:style>
  <w:style w:type="character" w:styleId="NormalArial12ptCentratModelGolireGalbenCaracterCaracter" w:customStyle="1">
    <w:name w:val="Normal + Arial.12 pt.Centrat.Model: Golire (Galben) Caracter Caracter"/>
    <w:qFormat/>
    <w:rPr>
      <w:rFonts w:ascii="Arial" w:hAnsi="Arial" w:cs="Arial"/>
      <w:sz w:val="16"/>
      <w:szCs w:val="16"/>
      <w:lang w:val="ro-RO" w:bidi="ar-SA"/>
    </w:rPr>
  </w:style>
  <w:style w:type="character" w:styleId="NormalArial1" w:customStyle="1">
    <w:name w:val="Normal + Arial1"/>
    <w:qFormat/>
    <w:rPr>
      <w:rFonts w:ascii="Arial" w:hAnsi="Arial" w:cs="Arial"/>
      <w:sz w:val="16"/>
      <w:szCs w:val="16"/>
      <w:lang w:val="ro-RO" w:bidi="ar-SA"/>
    </w:rPr>
  </w:style>
  <w:style w:type="character" w:styleId="CharChar2" w:customStyle="1">
    <w:name w:val="Char Char2"/>
    <w:qFormat/>
    <w:rPr>
      <w:rFonts w:ascii="Courier New" w:hAnsi="Courier New" w:eastAsia="SimSun;宋体" w:cs="Courier New"/>
      <w:lang w:val="ro-RO" w:bidi="ar-SA"/>
    </w:rPr>
  </w:style>
  <w:style w:type="character" w:styleId="PreformatatHTMLCaracter" w:customStyle="1">
    <w:name w:val="Preformatat HTML Caracter"/>
    <w:qFormat/>
    <w:rPr>
      <w:rFonts w:ascii="Courier New" w:hAnsi="Courier New" w:cs="Courier New"/>
    </w:rPr>
  </w:style>
  <w:style w:type="character" w:styleId="TextcomentariuCaracter" w:customStyle="1">
    <w:name w:val="Text comentariu Caracter"/>
    <w:qFormat/>
    <w:rPr>
      <w:lang w:val="ro-RO"/>
    </w:rPr>
  </w:style>
  <w:style w:type="character" w:styleId="PlandocumentCaracter" w:customStyle="1">
    <w:name w:val="Plan document Caracter"/>
    <w:qFormat/>
    <w:rPr>
      <w:rFonts w:ascii="Tahoma" w:hAnsi="Tahoma" w:cs="Tahoma"/>
      <w:sz w:val="24"/>
      <w:szCs w:val="24"/>
      <w:shd w:fill="000080" w:val="clear"/>
    </w:rPr>
  </w:style>
  <w:style w:type="character" w:styleId="TextnBalonCaracter" w:customStyle="1">
    <w:name w:val="Text în Balon Caracter"/>
    <w:qFormat/>
    <w:rPr>
      <w:rFonts w:ascii="Tahoma" w:hAnsi="Tahoma" w:cs="Tahoma"/>
      <w:sz w:val="16"/>
      <w:szCs w:val="16"/>
      <w:lang w:val="ro-RO"/>
    </w:rPr>
  </w:style>
  <w:style w:type="character" w:styleId="Applestylespan" w:customStyle="1">
    <w:name w:val="apple-style-span"/>
    <w:basedOn w:val="Fontdeparagrafimplicit"/>
    <w:qFormat/>
    <w:rPr/>
  </w:style>
  <w:style w:type="character" w:styleId="CaracterCaracter4" w:customStyle="1">
    <w:name w:val="Caracter Caracter4"/>
    <w:qFormat/>
    <w:rPr>
      <w:rFonts w:ascii="Arial" w:hAnsi="Arial" w:cs="Arial"/>
      <w:sz w:val="24"/>
      <w:lang w:val="ro-RO" w:bidi="ar-SA"/>
    </w:rPr>
  </w:style>
  <w:style w:type="character" w:styleId="Hps" w:customStyle="1">
    <w:name w:val="hps"/>
    <w:basedOn w:val="Fontdeparagrafimplicit"/>
    <w:qFormat/>
    <w:rPr/>
  </w:style>
  <w:style w:type="character" w:styleId="CaracterCaracter41" w:customStyle="1">
    <w:name w:val="Caracter Caracter41"/>
    <w:qFormat/>
    <w:rPr>
      <w:rFonts w:ascii="Arial" w:hAnsi="Arial" w:cs="Arial"/>
      <w:sz w:val="24"/>
      <w:lang w:val="ro-RO" w:bidi="ar-SA"/>
    </w:rPr>
  </w:style>
  <w:style w:type="character" w:styleId="SubtitluCaracter" w:customStyle="1">
    <w:name w:val="Subtitlu Caracter"/>
    <w:qFormat/>
    <w:rPr>
      <w:rFonts w:ascii="Cambria" w:hAnsi="Cambria" w:eastAsia="Times New Roman" w:cs="Times New Roman"/>
      <w:i/>
      <w:iCs/>
      <w:color w:val="4F81BD"/>
      <w:spacing w:val="15"/>
      <w:sz w:val="24"/>
      <w:szCs w:val="24"/>
    </w:rPr>
  </w:style>
  <w:style w:type="character" w:styleId="BodyTextChar1" w:customStyle="1">
    <w:name w:val="Body Text Char1"/>
    <w:qFormat/>
    <w:rPr>
      <w:rFonts w:ascii="Arial" w:hAnsi="Arial" w:cs="Arial"/>
      <w:sz w:val="24"/>
      <w:lang w:val="ro-RO" w:bidi="ar-SA"/>
    </w:rPr>
  </w:style>
  <w:style w:type="character" w:styleId="TextChar1" w:customStyle="1">
    <w:name w:val="Text Char"/>
    <w:qFormat/>
    <w:rPr>
      <w:rFonts w:ascii="Arial" w:hAnsi="Arial" w:cs="Arial"/>
      <w:sz w:val="24"/>
    </w:rPr>
  </w:style>
  <w:style w:type="character" w:styleId="TextnotdesubsolCaracter" w:customStyle="1">
    <w:name w:val="Text notă de subsol Caracter"/>
    <w:qFormat/>
    <w:rPr>
      <w:lang w:val="en-US"/>
    </w:rPr>
  </w:style>
  <w:style w:type="character" w:styleId="TextproiectChar" w:customStyle="1">
    <w:name w:val="text_proiect Char"/>
    <w:qFormat/>
    <w:rPr>
      <w:sz w:val="24"/>
      <w:lang w:val="en-US"/>
    </w:rPr>
  </w:style>
  <w:style w:type="character" w:styleId="NoSpacingChar" w:customStyle="1">
    <w:name w:val="No Spacing Char"/>
    <w:qFormat/>
    <w:rPr>
      <w:lang w:val="ro-RO" w:bidi="ar-SA"/>
    </w:rPr>
  </w:style>
  <w:style w:type="character" w:styleId="NormalArial12ptCentratModelGolireGalbenCaracterCaracter1" w:customStyle="1">
    <w:name w:val="Normal + Arial;12 pt;Centrat;Model: Golire (Galben) Caracter Caracter"/>
    <w:qFormat/>
    <w:rPr>
      <w:rFonts w:ascii="Arial" w:hAnsi="Arial" w:cs="Arial"/>
      <w:sz w:val="16"/>
      <w:szCs w:val="16"/>
      <w:lang w:val="ro-RO" w:bidi="ar-SA"/>
    </w:rPr>
  </w:style>
  <w:style w:type="character" w:styleId="CaracterCaracterCaracter1" w:customStyle="1">
    <w:name w:val="Caracter Caracter Caracter1"/>
    <w:qFormat/>
    <w:rPr>
      <w:b/>
      <w:color w:val="000000"/>
      <w:sz w:val="24"/>
      <w:lang w:val="ro-RO" w:bidi="ar-SA"/>
    </w:rPr>
  </w:style>
  <w:style w:type="character" w:styleId="Fontstyle01" w:customStyle="1">
    <w:name w:val="fontstyle01"/>
    <w:qFormat/>
    <w:rPr>
      <w:rFonts w:ascii="Helvetica" w:hAnsi="Helvetica" w:cs="Helvetica"/>
      <w:b w:val="false"/>
      <w:bCs w:val="false"/>
      <w:i w:val="false"/>
      <w:iCs w:val="false"/>
      <w:color w:val="000000"/>
      <w:sz w:val="20"/>
      <w:szCs w:val="20"/>
    </w:rPr>
  </w:style>
  <w:style w:type="character" w:styleId="ListparagrafCaracter" w:customStyle="1">
    <w:name w:val="Listă paragraf Caracter"/>
    <w:qFormat/>
    <w:rPr/>
  </w:style>
  <w:style w:type="character" w:styleId="L5def2" w:customStyle="1">
    <w:name w:val="l5def2"/>
    <w:qFormat/>
    <w:rPr>
      <w:rFonts w:ascii="Arial" w:hAnsi="Arial" w:cs="Arial"/>
      <w:color w:val="000000"/>
      <w:sz w:val="26"/>
      <w:szCs w:val="26"/>
    </w:rPr>
  </w:style>
  <w:style w:type="character" w:styleId="Referincomentariu" w:customStyle="1">
    <w:name w:val="Referință comentariu"/>
    <w:qFormat/>
    <w:rPr>
      <w:sz w:val="16"/>
      <w:szCs w:val="16"/>
    </w:rPr>
  </w:style>
  <w:style w:type="character" w:styleId="SubiectComentariuCaracter" w:customStyle="1">
    <w:name w:val="Subiect Comentariu Caracter"/>
    <w:qFormat/>
    <w:rPr>
      <w:b/>
      <w:bCs/>
      <w:lang w:val="en-US"/>
    </w:rPr>
  </w:style>
  <w:style w:type="character" w:styleId="IndexLink" w:customStyle="1">
    <w:name w:val="Index Link"/>
    <w:qFormat/>
    <w:rPr/>
  </w:style>
  <w:style w:type="paragraph" w:styleId="Heading" w:customStyle="1">
    <w:name w:val="Heading"/>
    <w:basedOn w:val="Normal"/>
    <w:next w:val="TextBody"/>
    <w:qFormat/>
    <w:pPr>
      <w:jc w:val="center"/>
    </w:pPr>
    <w:rPr>
      <w:rFonts w:ascii="Arial" w:hAnsi="Arial" w:cs="Arial"/>
      <w:b/>
      <w:szCs w:val="20"/>
      <w:lang w:val="ro-RO"/>
    </w:rPr>
  </w:style>
  <w:style w:type="paragraph" w:styleId="TextBody">
    <w:name w:val="Body Text"/>
    <w:basedOn w:val="Normal"/>
    <w:pPr>
      <w:jc w:val="both"/>
    </w:pPr>
    <w:rPr>
      <w:rFonts w:ascii="Arial" w:hAnsi="Arial" w:cs="Arial"/>
      <w:szCs w:val="20"/>
      <w:lang w:val="ro-RO"/>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Caption1">
    <w:name w:val="caption"/>
    <w:basedOn w:val="Normal"/>
    <w:qFormat/>
    <w:pPr>
      <w:suppressLineNumbers/>
      <w:spacing w:before="120" w:after="120"/>
    </w:pPr>
    <w:rPr>
      <w:rFonts w:cs="Lucida Sans"/>
      <w:i/>
      <w:iCs/>
    </w:rPr>
  </w:style>
  <w:style w:type="paragraph" w:styleId="HeaderandFooter" w:customStyle="1">
    <w:name w:val="Header and Footer"/>
    <w:basedOn w:val="Normal"/>
    <w:qFormat/>
    <w:pPr>
      <w:suppressLineNumbers/>
      <w:tabs>
        <w:tab w:val="clear" w:pos="720"/>
        <w:tab w:val="center" w:pos="4986" w:leader="none"/>
        <w:tab w:val="right" w:pos="9972" w:leader="none"/>
      </w:tabs>
    </w:pPr>
    <w:rPr/>
  </w:style>
  <w:style w:type="paragraph" w:styleId="Footer">
    <w:name w:val="Footer"/>
    <w:basedOn w:val="Normal"/>
    <w:pPr/>
    <w:rPr/>
  </w:style>
  <w:style w:type="paragraph" w:styleId="Listanumerotat2" w:customStyle="1">
    <w:name w:val="Lista numerotată 2"/>
    <w:basedOn w:val="Normal"/>
    <w:qFormat/>
    <w:pPr>
      <w:ind w:left="720" w:hanging="360"/>
    </w:pPr>
    <w:rPr>
      <w:rFonts w:ascii="Arial" w:hAnsi="Arial" w:cs="Arial"/>
      <w:color w:val="000000"/>
      <w:szCs w:val="20"/>
      <w:lang w:val="ro-RO"/>
    </w:rPr>
  </w:style>
  <w:style w:type="paragraph" w:styleId="TextBodyIndent">
    <w:name w:val="Body Text Indent"/>
    <w:basedOn w:val="Normal"/>
    <w:pPr>
      <w:ind w:firstLine="709"/>
      <w:jc w:val="both"/>
    </w:pPr>
    <w:rPr>
      <w:rFonts w:ascii="Arial" w:hAnsi="Arial" w:cs="Arial"/>
      <w:szCs w:val="20"/>
      <w:lang w:val="ro-RO"/>
    </w:rPr>
  </w:style>
  <w:style w:type="paragraph" w:styleId="Corptext2" w:customStyle="1">
    <w:name w:val="Corp text 2"/>
    <w:basedOn w:val="Normal"/>
    <w:qFormat/>
    <w:pPr>
      <w:jc w:val="both"/>
    </w:pPr>
    <w:rPr>
      <w:rFonts w:ascii="Arial" w:hAnsi="Arial" w:cs="Arial"/>
      <w:sz w:val="20"/>
      <w:szCs w:val="20"/>
      <w:lang w:val="ro-RO"/>
    </w:rPr>
  </w:style>
  <w:style w:type="paragraph" w:styleId="Textbloc" w:customStyle="1">
    <w:name w:val="Text bloc"/>
    <w:basedOn w:val="Normal"/>
    <w:qFormat/>
    <w:pPr>
      <w:ind w:left="-185" w:right="-155" w:hanging="0"/>
      <w:jc w:val="center"/>
    </w:pPr>
    <w:rPr>
      <w:rFonts w:ascii="Arial" w:hAnsi="Arial" w:cs="Arial"/>
      <w:b/>
      <w:sz w:val="20"/>
      <w:szCs w:val="20"/>
      <w:lang w:val="ro-RO"/>
    </w:rPr>
  </w:style>
  <w:style w:type="paragraph" w:styleId="Textsimplu" w:customStyle="1">
    <w:name w:val="Text simplu"/>
    <w:basedOn w:val="Normal"/>
    <w:qFormat/>
    <w:pPr/>
    <w:rPr>
      <w:rFonts w:ascii="Courier New" w:hAnsi="Courier New" w:cs="Courier New"/>
      <w:sz w:val="20"/>
      <w:szCs w:val="20"/>
      <w:lang w:val="ro-RO"/>
    </w:rPr>
  </w:style>
  <w:style w:type="paragraph" w:styleId="CAP" w:customStyle="1">
    <w:name w:val="CAP"/>
    <w:basedOn w:val="Textsimplu"/>
    <w:qFormat/>
    <w:pPr/>
    <w:rPr>
      <w:rFonts w:ascii="Arial" w:hAnsi="Arial" w:cs="Arial"/>
      <w:b/>
      <w:sz w:val="24"/>
    </w:rPr>
  </w:style>
  <w:style w:type="paragraph" w:styleId="ARIAL" w:customStyle="1">
    <w:name w:val="ARIAL"/>
    <w:basedOn w:val="Normal"/>
    <w:qFormat/>
    <w:pPr>
      <w:jc w:val="center"/>
    </w:pPr>
    <w:rPr>
      <w:rFonts w:ascii="Arial" w:hAnsi="Arial" w:cs="Arial"/>
      <w:b/>
      <w:szCs w:val="20"/>
      <w:lang w:val="ro-RO"/>
    </w:rPr>
  </w:style>
  <w:style w:type="paragraph" w:styleId="Header">
    <w:name w:val="Header"/>
    <w:basedOn w:val="Normal"/>
    <w:pPr/>
    <w:rPr>
      <w:rFonts w:ascii="Arial" w:hAnsi="Arial" w:cs="Arial"/>
      <w:szCs w:val="20"/>
      <w:lang w:val="ro-RO"/>
    </w:rPr>
  </w:style>
  <w:style w:type="paragraph" w:styleId="Envelopereturn">
    <w:name w:val="envelope return"/>
    <w:basedOn w:val="Normal"/>
    <w:qFormat/>
    <w:pPr/>
    <w:rPr>
      <w:rFonts w:ascii="Arial" w:hAnsi="Arial" w:cs="Arial"/>
      <w:b/>
      <w:szCs w:val="20"/>
      <w:lang w:val="en-AU"/>
    </w:rPr>
  </w:style>
  <w:style w:type="paragraph" w:styleId="Corptext3" w:customStyle="1">
    <w:name w:val="Corp text 3"/>
    <w:basedOn w:val="Normal"/>
    <w:qFormat/>
    <w:pPr>
      <w:jc w:val="both"/>
    </w:pPr>
    <w:rPr>
      <w:b/>
      <w:color w:val="000000"/>
      <w:szCs w:val="20"/>
      <w:lang w:val="ro-RO"/>
    </w:rPr>
  </w:style>
  <w:style w:type="paragraph" w:styleId="Indentcorptext3" w:customStyle="1">
    <w:name w:val="Indent corp text 3"/>
    <w:basedOn w:val="Normal"/>
    <w:qFormat/>
    <w:pPr>
      <w:ind w:firstLine="720"/>
      <w:jc w:val="both"/>
    </w:pPr>
    <w:rPr>
      <w:rFonts w:ascii="Arial" w:hAnsi="Arial" w:cs="Arial"/>
      <w:szCs w:val="20"/>
      <w:lang w:val="ro-RO"/>
    </w:rPr>
  </w:style>
  <w:style w:type="paragraph" w:styleId="Style11" w:customStyle="1">
    <w:name w:val="Style1"/>
    <w:basedOn w:val="Normal"/>
    <w:qFormat/>
    <w:pPr>
      <w:outlineLvl w:val="0"/>
    </w:pPr>
    <w:rPr>
      <w:rFonts w:ascii="Arial" w:hAnsi="Arial" w:cs="Arial"/>
      <w:b/>
      <w:color w:val="000000"/>
      <w:szCs w:val="20"/>
      <w:lang w:val="ro-RO"/>
    </w:rPr>
  </w:style>
  <w:style w:type="paragraph" w:styleId="Indentnormal" w:customStyle="1">
    <w:name w:val="Indent normal"/>
    <w:basedOn w:val="Normal"/>
    <w:qFormat/>
    <w:pPr>
      <w:spacing w:lineRule="auto" w:line="360"/>
      <w:ind w:firstLine="720"/>
      <w:jc w:val="both"/>
    </w:pPr>
    <w:rPr>
      <w:rFonts w:ascii="Arial" w:hAnsi="Arial" w:cs="Arial"/>
      <w:lang w:val="ro-RO"/>
    </w:rPr>
  </w:style>
  <w:style w:type="paragraph" w:styleId="Indentcorptext2" w:customStyle="1">
    <w:name w:val="Indent corp text 2"/>
    <w:basedOn w:val="Normal"/>
    <w:qFormat/>
    <w:pPr>
      <w:spacing w:lineRule="auto" w:line="480" w:before="0" w:after="120"/>
      <w:ind w:left="360" w:hanging="0"/>
    </w:pPr>
    <w:rPr>
      <w:rFonts w:ascii="Arial" w:hAnsi="Arial" w:cs="Arial"/>
      <w:szCs w:val="20"/>
      <w:lang w:val="ro-RO"/>
    </w:rPr>
  </w:style>
  <w:style w:type="paragraph" w:styleId="Text" w:customStyle="1">
    <w:name w:val="text"/>
    <w:basedOn w:val="Normal"/>
    <w:qFormat/>
    <w:pPr>
      <w:ind w:firstLine="720"/>
      <w:jc w:val="both"/>
    </w:pPr>
    <w:rPr>
      <w:rFonts w:ascii="Arial" w:hAnsi="Arial" w:cs="Arial"/>
      <w:szCs w:val="20"/>
      <w:lang w:val="en-GB"/>
    </w:rPr>
  </w:style>
  <w:style w:type="paragraph" w:styleId="Xl17" w:customStyle="1">
    <w:name w:val="xl17"/>
    <w:basedOn w:val="Normal"/>
    <w:qFormat/>
    <w:pPr>
      <w:pBdr>
        <w:top w:val="single" w:sz="4" w:space="0" w:color="000000"/>
        <w:left w:val="single" w:sz="4" w:space="0" w:color="000000"/>
        <w:bottom w:val="single" w:sz="4" w:space="0" w:color="000000"/>
        <w:right w:val="single" w:sz="4" w:space="0" w:color="000000"/>
      </w:pBdr>
      <w:spacing w:before="280" w:after="280"/>
    </w:pPr>
    <w:rPr/>
  </w:style>
  <w:style w:type="paragraph" w:styleId="Footnote">
    <w:name w:val="Footnote Text"/>
    <w:basedOn w:val="Normal"/>
    <w:pPr/>
    <w:rPr>
      <w:sz w:val="20"/>
      <w:szCs w:val="20"/>
    </w:rPr>
  </w:style>
  <w:style w:type="paragraph" w:styleId="CharChar1CharChar" w:customStyle="1">
    <w:name w:val="Char Char1 Char Char"/>
    <w:basedOn w:val="Normal"/>
    <w:qFormat/>
    <w:pPr/>
    <w:rPr>
      <w:lang w:val="pl-PL"/>
    </w:rPr>
  </w:style>
  <w:style w:type="paragraph" w:styleId="Textcomentariu" w:customStyle="1">
    <w:name w:val="Text comentariu"/>
    <w:basedOn w:val="Normal"/>
    <w:qFormat/>
    <w:pPr/>
    <w:rPr>
      <w:sz w:val="20"/>
      <w:szCs w:val="20"/>
      <w:lang w:val="ro-RO"/>
    </w:rPr>
  </w:style>
  <w:style w:type="paragraph" w:styleId="Plandocument" w:customStyle="1">
    <w:name w:val="Plan document"/>
    <w:basedOn w:val="Normal"/>
    <w:qFormat/>
    <w:pPr>
      <w:shd w:val="clear" w:color="auto" w:fill="000080"/>
      <w:spacing w:lineRule="exact" w:line="340" w:before="80" w:after="80"/>
    </w:pPr>
    <w:rPr>
      <w:rFonts w:ascii="Tahoma" w:hAnsi="Tahoma" w:cs="Tahoma"/>
    </w:rPr>
  </w:style>
  <w:style w:type="paragraph" w:styleId="TextnBalon" w:customStyle="1">
    <w:name w:val="Text în Balon"/>
    <w:basedOn w:val="Normal"/>
    <w:qFormat/>
    <w:pPr/>
    <w:rPr>
      <w:rFonts w:ascii="Tahoma" w:hAnsi="Tahoma" w:cs="Tahoma"/>
      <w:sz w:val="16"/>
      <w:szCs w:val="16"/>
      <w:lang w:val="ro-RO"/>
    </w:rPr>
  </w:style>
  <w:style w:type="paragraph" w:styleId="Legend" w:customStyle="1">
    <w:name w:val="Legendă"/>
    <w:basedOn w:val="Normal"/>
    <w:next w:val="Normal"/>
    <w:qFormat/>
    <w:pPr>
      <w:jc w:val="center"/>
    </w:pPr>
    <w:rPr>
      <w:rFonts w:ascii="Arial" w:hAnsi="Arial" w:cs="Arial"/>
      <w:b/>
      <w:sz w:val="20"/>
      <w:szCs w:val="20"/>
      <w:lang w:val="ro-RO"/>
    </w:rPr>
  </w:style>
  <w:style w:type="paragraph" w:styleId="Xl24" w:customStyle="1">
    <w:name w:val="xl24"/>
    <w:basedOn w:val="Normal"/>
    <w:qFormat/>
    <w:pPr>
      <w:pBdr>
        <w:top w:val="single" w:sz="4" w:space="0" w:color="000000"/>
        <w:left w:val="single" w:sz="8" w:space="0" w:color="000000"/>
        <w:bottom w:val="single" w:sz="8" w:space="0" w:color="000000"/>
        <w:right w:val="single" w:sz="4" w:space="0" w:color="000000"/>
      </w:pBdr>
      <w:spacing w:before="280" w:after="280"/>
      <w:jc w:val="center"/>
      <w:textAlignment w:val="center"/>
    </w:pPr>
    <w:rPr>
      <w:b/>
      <w:bCs/>
      <w:sz w:val="18"/>
      <w:szCs w:val="18"/>
    </w:rPr>
  </w:style>
  <w:style w:type="paragraph" w:styleId="Xl25" w:customStyle="1">
    <w:name w:val="xl25"/>
    <w:basedOn w:val="Normal"/>
    <w:qFormat/>
    <w:pPr>
      <w:pBdr>
        <w:top w:val="single" w:sz="4" w:space="0" w:color="000000"/>
        <w:left w:val="single" w:sz="4" w:space="0" w:color="000000"/>
        <w:bottom w:val="single" w:sz="8" w:space="0" w:color="000000"/>
        <w:right w:val="single" w:sz="4" w:space="0" w:color="000000"/>
      </w:pBdr>
      <w:spacing w:before="280" w:after="280"/>
      <w:jc w:val="center"/>
      <w:textAlignment w:val="center"/>
    </w:pPr>
    <w:rPr>
      <w:b/>
      <w:bCs/>
      <w:sz w:val="18"/>
      <w:szCs w:val="18"/>
    </w:rPr>
  </w:style>
  <w:style w:type="paragraph" w:styleId="Xl26" w:customStyle="1">
    <w:name w:val="xl26"/>
    <w:basedOn w:val="Normal"/>
    <w:qFormat/>
    <w:pPr>
      <w:pBdr>
        <w:top w:val="single" w:sz="4" w:space="0" w:color="000000"/>
        <w:left w:val="single" w:sz="4" w:space="0" w:color="000000"/>
        <w:bottom w:val="single" w:sz="8" w:space="0" w:color="000000"/>
        <w:right w:val="single" w:sz="8" w:space="0" w:color="000000"/>
      </w:pBdr>
      <w:spacing w:before="280" w:after="280"/>
      <w:jc w:val="center"/>
      <w:textAlignment w:val="center"/>
    </w:pPr>
    <w:rPr>
      <w:sz w:val="18"/>
      <w:szCs w:val="18"/>
    </w:rPr>
  </w:style>
  <w:style w:type="paragraph" w:styleId="Xl27" w:customStyle="1">
    <w:name w:val="xl27"/>
    <w:basedOn w:val="Normal"/>
    <w:qFormat/>
    <w:pPr>
      <w:pBdr>
        <w:left w:val="single" w:sz="4" w:space="0" w:color="000000"/>
        <w:bottom w:val="single" w:sz="4" w:space="0" w:color="000000"/>
        <w:right w:val="single" w:sz="4" w:space="0" w:color="000000"/>
      </w:pBdr>
      <w:spacing w:before="280" w:after="280"/>
      <w:jc w:val="center"/>
      <w:textAlignment w:val="center"/>
    </w:pPr>
    <w:rPr>
      <w:sz w:val="18"/>
      <w:szCs w:val="18"/>
    </w:rPr>
  </w:style>
  <w:style w:type="paragraph" w:styleId="Xl28" w:customStyle="1">
    <w:name w:val="xl28"/>
    <w:basedOn w:val="Normal"/>
    <w:qFormat/>
    <w:pPr>
      <w:pBdr>
        <w:left w:val="single" w:sz="4" w:space="0" w:color="000000"/>
        <w:bottom w:val="single" w:sz="4" w:space="0" w:color="000000"/>
        <w:right w:val="single" w:sz="4" w:space="0" w:color="000000"/>
      </w:pBdr>
      <w:spacing w:before="280" w:after="280"/>
      <w:jc w:val="center"/>
      <w:textAlignment w:val="center"/>
    </w:pPr>
    <w:rPr>
      <w:sz w:val="18"/>
      <w:szCs w:val="18"/>
    </w:rPr>
  </w:style>
  <w:style w:type="paragraph" w:styleId="Xl29" w:customStyle="1">
    <w:name w:val="xl29"/>
    <w:basedOn w:val="Normal"/>
    <w:qFormat/>
    <w:pPr>
      <w:pBdr>
        <w:left w:val="single" w:sz="4" w:space="0" w:color="000000"/>
        <w:bottom w:val="single" w:sz="4" w:space="0" w:color="000000"/>
        <w:right w:val="single" w:sz="8" w:space="0" w:color="000000"/>
      </w:pBdr>
      <w:spacing w:before="280" w:after="280"/>
      <w:jc w:val="center"/>
      <w:textAlignment w:val="center"/>
    </w:pPr>
    <w:rPr>
      <w:sz w:val="18"/>
      <w:szCs w:val="18"/>
    </w:rPr>
  </w:style>
  <w:style w:type="paragraph" w:styleId="Xl30" w:customStyle="1">
    <w:name w:val="xl30"/>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styleId="Xl31" w:customStyle="1">
    <w:name w:val="xl31"/>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styleId="Xl32" w:customStyle="1">
    <w:name w:val="xl32"/>
    <w:basedOn w:val="Normal"/>
    <w:qFormat/>
    <w:pPr>
      <w:pBdr>
        <w:top w:val="single" w:sz="4" w:space="0" w:color="000000"/>
        <w:left w:val="single" w:sz="4" w:space="0" w:color="000000"/>
        <w:bottom w:val="single" w:sz="4" w:space="0" w:color="000000"/>
        <w:right w:val="single" w:sz="8" w:space="0" w:color="000000"/>
      </w:pBdr>
      <w:spacing w:before="280" w:after="280"/>
      <w:jc w:val="center"/>
      <w:textAlignment w:val="center"/>
    </w:pPr>
    <w:rPr>
      <w:sz w:val="18"/>
      <w:szCs w:val="18"/>
    </w:rPr>
  </w:style>
  <w:style w:type="paragraph" w:styleId="Xl33" w:customStyle="1">
    <w:name w:val="xl3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styleId="Xl34" w:customStyle="1">
    <w:name w:val="xl34"/>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styleId="Xl35" w:customStyle="1">
    <w:name w:val="xl35"/>
    <w:basedOn w:val="Normal"/>
    <w:qFormat/>
    <w:pPr>
      <w:pBdr>
        <w:top w:val="single" w:sz="4" w:space="0" w:color="000000"/>
        <w:left w:val="single" w:sz="4" w:space="0" w:color="000000"/>
        <w:bottom w:val="single" w:sz="4" w:space="0" w:color="000000"/>
        <w:right w:val="single" w:sz="8" w:space="0" w:color="000000"/>
      </w:pBdr>
      <w:spacing w:before="280" w:after="280"/>
      <w:jc w:val="center"/>
      <w:textAlignment w:val="center"/>
    </w:pPr>
    <w:rPr>
      <w:sz w:val="18"/>
      <w:szCs w:val="18"/>
    </w:rPr>
  </w:style>
  <w:style w:type="paragraph" w:styleId="Xl36" w:customStyle="1">
    <w:name w:val="xl36"/>
    <w:basedOn w:val="Normal"/>
    <w:qFormat/>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styleId="Xl37" w:customStyle="1">
    <w:name w:val="xl37"/>
    <w:basedOn w:val="Normal"/>
    <w:qFormat/>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styleId="Xl38" w:customStyle="1">
    <w:name w:val="xl38"/>
    <w:basedOn w:val="Normal"/>
    <w:qFormat/>
    <w:pPr>
      <w:pBdr>
        <w:top w:val="single" w:sz="4" w:space="0" w:color="000000"/>
        <w:left w:val="single" w:sz="4" w:space="0" w:color="000000"/>
        <w:bottom w:val="double" w:sz="6" w:space="0" w:color="000000"/>
        <w:right w:val="single" w:sz="4" w:space="0" w:color="000000"/>
      </w:pBdr>
      <w:spacing w:before="280" w:after="280"/>
      <w:jc w:val="center"/>
      <w:textAlignment w:val="center"/>
    </w:pPr>
    <w:rPr>
      <w:sz w:val="18"/>
      <w:szCs w:val="18"/>
    </w:rPr>
  </w:style>
  <w:style w:type="paragraph" w:styleId="Xl39" w:customStyle="1">
    <w:name w:val="xl39"/>
    <w:basedOn w:val="Normal"/>
    <w:qFormat/>
    <w:pPr>
      <w:pBdr>
        <w:top w:val="single" w:sz="4" w:space="0" w:color="000000"/>
        <w:left w:val="single" w:sz="4" w:space="0" w:color="000000"/>
        <w:bottom w:val="double" w:sz="6" w:space="0" w:color="000000"/>
        <w:right w:val="single" w:sz="8" w:space="0" w:color="000000"/>
      </w:pBdr>
      <w:spacing w:before="280" w:after="280"/>
      <w:jc w:val="center"/>
      <w:textAlignment w:val="center"/>
    </w:pPr>
    <w:rPr>
      <w:sz w:val="18"/>
      <w:szCs w:val="18"/>
    </w:rPr>
  </w:style>
  <w:style w:type="paragraph" w:styleId="Xl40" w:customStyle="1">
    <w:name w:val="xl40"/>
    <w:basedOn w:val="Normal"/>
    <w:qFormat/>
    <w:pPr>
      <w:pBdr>
        <w:left w:val="single" w:sz="4" w:space="0" w:color="000000"/>
        <w:bottom w:val="double" w:sz="6" w:space="0" w:color="000000"/>
        <w:right w:val="single" w:sz="4" w:space="0" w:color="000000"/>
      </w:pBdr>
      <w:spacing w:before="280" w:after="280"/>
      <w:jc w:val="center"/>
      <w:textAlignment w:val="center"/>
    </w:pPr>
    <w:rPr>
      <w:sz w:val="18"/>
      <w:szCs w:val="18"/>
    </w:rPr>
  </w:style>
  <w:style w:type="paragraph" w:styleId="Xl41" w:customStyle="1">
    <w:name w:val="xl41"/>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u w:val="single"/>
    </w:rPr>
  </w:style>
  <w:style w:type="paragraph" w:styleId="Xl42" w:customStyle="1">
    <w:name w:val="xl42"/>
    <w:basedOn w:val="Normal"/>
    <w:qFormat/>
    <w:pPr>
      <w:pBdr>
        <w:top w:val="single" w:sz="4" w:space="0" w:color="000000"/>
        <w:left w:val="single" w:sz="8" w:space="0" w:color="000000"/>
        <w:right w:val="single" w:sz="4" w:space="0" w:color="000000"/>
      </w:pBdr>
      <w:spacing w:before="280" w:after="280"/>
      <w:jc w:val="center"/>
      <w:textAlignment w:val="center"/>
    </w:pPr>
    <w:rPr>
      <w:b/>
      <w:bCs/>
      <w:sz w:val="18"/>
      <w:szCs w:val="18"/>
    </w:rPr>
  </w:style>
  <w:style w:type="paragraph" w:styleId="Xl43" w:customStyle="1">
    <w:name w:val="xl43"/>
    <w:basedOn w:val="Normal"/>
    <w:qFormat/>
    <w:pPr>
      <w:pBdr>
        <w:left w:val="single" w:sz="8" w:space="0" w:color="000000"/>
        <w:right w:val="single" w:sz="4" w:space="0" w:color="000000"/>
      </w:pBdr>
      <w:spacing w:before="280" w:after="280"/>
      <w:jc w:val="center"/>
      <w:textAlignment w:val="center"/>
    </w:pPr>
    <w:rPr>
      <w:b/>
      <w:bCs/>
      <w:sz w:val="18"/>
      <w:szCs w:val="18"/>
    </w:rPr>
  </w:style>
  <w:style w:type="paragraph" w:styleId="Xl44" w:customStyle="1">
    <w:name w:val="xl44"/>
    <w:basedOn w:val="Normal"/>
    <w:qFormat/>
    <w:pPr>
      <w:pBdr>
        <w:left w:val="single" w:sz="8" w:space="0" w:color="000000"/>
        <w:bottom w:val="single" w:sz="4" w:space="0" w:color="000000"/>
        <w:right w:val="single" w:sz="4" w:space="0" w:color="000000"/>
      </w:pBdr>
      <w:spacing w:before="280" w:after="280"/>
      <w:jc w:val="center"/>
      <w:textAlignment w:val="center"/>
    </w:pPr>
    <w:rPr>
      <w:b/>
      <w:bCs/>
      <w:sz w:val="18"/>
      <w:szCs w:val="18"/>
    </w:rPr>
  </w:style>
  <w:style w:type="paragraph" w:styleId="Xl45" w:customStyle="1">
    <w:name w:val="xl45"/>
    <w:basedOn w:val="Normal"/>
    <w:qFormat/>
    <w:pPr>
      <w:pBdr>
        <w:top w:val="single" w:sz="4" w:space="0" w:color="000000"/>
        <w:left w:val="single" w:sz="8" w:space="0" w:color="000000"/>
        <w:bottom w:val="single" w:sz="4" w:space="0" w:color="000000"/>
        <w:right w:val="single" w:sz="4" w:space="0" w:color="000000"/>
      </w:pBdr>
      <w:spacing w:before="280" w:after="280"/>
      <w:jc w:val="center"/>
      <w:textAlignment w:val="center"/>
    </w:pPr>
    <w:rPr>
      <w:b/>
      <w:bCs/>
      <w:sz w:val="18"/>
      <w:szCs w:val="18"/>
    </w:rPr>
  </w:style>
  <w:style w:type="paragraph" w:styleId="Xl46" w:customStyle="1">
    <w:name w:val="xl46"/>
    <w:basedOn w:val="Normal"/>
    <w:qFormat/>
    <w:pPr>
      <w:pBdr>
        <w:top w:val="single" w:sz="4" w:space="0" w:color="000000"/>
        <w:left w:val="single" w:sz="4" w:space="0" w:color="000000"/>
        <w:right w:val="single" w:sz="4" w:space="0" w:color="000000"/>
      </w:pBdr>
      <w:spacing w:before="280" w:after="280"/>
      <w:jc w:val="center"/>
      <w:textAlignment w:val="center"/>
    </w:pPr>
    <w:rPr>
      <w:sz w:val="18"/>
      <w:szCs w:val="18"/>
    </w:rPr>
  </w:style>
  <w:style w:type="paragraph" w:styleId="Xl47" w:customStyle="1">
    <w:name w:val="xl47"/>
    <w:basedOn w:val="Normal"/>
    <w:qFormat/>
    <w:pPr>
      <w:pBdr>
        <w:left w:val="single" w:sz="4" w:space="0" w:color="000000"/>
        <w:right w:val="single" w:sz="4" w:space="0" w:color="000000"/>
      </w:pBdr>
      <w:spacing w:before="280" w:after="280"/>
      <w:jc w:val="center"/>
      <w:textAlignment w:val="center"/>
    </w:pPr>
    <w:rPr>
      <w:sz w:val="18"/>
      <w:szCs w:val="18"/>
    </w:rPr>
  </w:style>
  <w:style w:type="paragraph" w:styleId="Xl48" w:customStyle="1">
    <w:name w:val="xl48"/>
    <w:basedOn w:val="Normal"/>
    <w:qFormat/>
    <w:pPr>
      <w:pBdr>
        <w:top w:val="single" w:sz="4" w:space="0" w:color="000000"/>
        <w:left w:val="single" w:sz="4" w:space="0" w:color="000000"/>
        <w:right w:val="single" w:sz="8" w:space="0" w:color="000000"/>
      </w:pBdr>
      <w:spacing w:before="280" w:after="280"/>
      <w:jc w:val="center"/>
      <w:textAlignment w:val="center"/>
    </w:pPr>
    <w:rPr>
      <w:sz w:val="18"/>
      <w:szCs w:val="18"/>
    </w:rPr>
  </w:style>
  <w:style w:type="paragraph" w:styleId="Xl49" w:customStyle="1">
    <w:name w:val="xl49"/>
    <w:basedOn w:val="Normal"/>
    <w:qFormat/>
    <w:pPr>
      <w:pBdr>
        <w:left w:val="single" w:sz="4" w:space="0" w:color="000000"/>
        <w:right w:val="single" w:sz="8" w:space="0" w:color="000000"/>
      </w:pBdr>
      <w:spacing w:before="280" w:after="280"/>
      <w:jc w:val="center"/>
      <w:textAlignment w:val="center"/>
    </w:pPr>
    <w:rPr>
      <w:sz w:val="18"/>
      <w:szCs w:val="18"/>
    </w:rPr>
  </w:style>
  <w:style w:type="paragraph" w:styleId="Xl50" w:customStyle="1">
    <w:name w:val="xl50"/>
    <w:basedOn w:val="Normal"/>
    <w:qFormat/>
    <w:pPr>
      <w:pBdr>
        <w:top w:val="single" w:sz="4" w:space="0" w:color="000000"/>
        <w:left w:val="single" w:sz="8" w:space="0" w:color="000000"/>
        <w:bottom w:val="double" w:sz="6" w:space="0" w:color="000000"/>
        <w:right w:val="single" w:sz="4" w:space="0" w:color="000000"/>
      </w:pBdr>
      <w:spacing w:before="280" w:after="280"/>
      <w:jc w:val="center"/>
      <w:textAlignment w:val="center"/>
    </w:pPr>
    <w:rPr>
      <w:b/>
      <w:bCs/>
      <w:sz w:val="18"/>
      <w:szCs w:val="18"/>
    </w:rPr>
  </w:style>
  <w:style w:type="paragraph" w:styleId="Xl60" w:customStyle="1">
    <w:name w:val="xl60"/>
    <w:basedOn w:val="Normal"/>
    <w:qFormat/>
    <w:pPr>
      <w:spacing w:before="280" w:after="280"/>
    </w:pPr>
    <w:rPr>
      <w:sz w:val="12"/>
      <w:szCs w:val="12"/>
    </w:rPr>
  </w:style>
  <w:style w:type="paragraph" w:styleId="Xl19" w:customStyle="1">
    <w:name w:val="xl19"/>
    <w:basedOn w:val="Normal"/>
    <w:qFormat/>
    <w:pPr>
      <w:spacing w:before="280" w:after="280"/>
    </w:pPr>
    <w:rPr>
      <w:sz w:val="12"/>
      <w:szCs w:val="12"/>
    </w:rPr>
  </w:style>
  <w:style w:type="paragraph" w:styleId="Xl58" w:customStyle="1">
    <w:name w:val="xl58"/>
    <w:basedOn w:val="Normal"/>
    <w:qFormat/>
    <w:pPr>
      <w:spacing w:before="280" w:after="280"/>
    </w:pPr>
    <w:rPr>
      <w:sz w:val="12"/>
      <w:szCs w:val="12"/>
    </w:rPr>
  </w:style>
  <w:style w:type="paragraph" w:styleId="Xl22" w:customStyle="1">
    <w:name w:val="xl22"/>
    <w:basedOn w:val="Normal"/>
    <w:qFormat/>
    <w:pPr>
      <w:pBdr>
        <w:bottom w:val="single" w:sz="12" w:space="0" w:color="000000"/>
        <w:right w:val="single" w:sz="8" w:space="0" w:color="000000"/>
      </w:pBdr>
      <w:spacing w:before="280" w:after="280"/>
      <w:jc w:val="center"/>
    </w:pPr>
    <w:rPr>
      <w:rFonts w:ascii="Arial" w:hAnsi="Arial" w:cs="Arial"/>
      <w:b/>
      <w:bCs/>
      <w:sz w:val="16"/>
      <w:szCs w:val="16"/>
    </w:rPr>
  </w:style>
  <w:style w:type="paragraph" w:styleId="Xl23" w:customStyle="1">
    <w:name w:val="xl23"/>
    <w:basedOn w:val="Normal"/>
    <w:qFormat/>
    <w:pPr>
      <w:pBdr>
        <w:bottom w:val="single" w:sz="8" w:space="0" w:color="000000"/>
        <w:right w:val="single" w:sz="8" w:space="0" w:color="000000"/>
      </w:pBdr>
      <w:spacing w:before="280" w:after="280"/>
      <w:jc w:val="center"/>
    </w:pPr>
    <w:rPr>
      <w:rFonts w:ascii="Arial" w:hAnsi="Arial" w:cs="Arial"/>
      <w:sz w:val="16"/>
      <w:szCs w:val="16"/>
    </w:rPr>
  </w:style>
  <w:style w:type="paragraph" w:styleId="NormalWeb">
    <w:name w:val="Normal (Web)"/>
    <w:basedOn w:val="Normal"/>
    <w:qFormat/>
    <w:pPr>
      <w:spacing w:before="280" w:after="280"/>
    </w:pPr>
    <w:rPr/>
  </w:style>
  <w:style w:type="paragraph" w:styleId="Xl18" w:customStyle="1">
    <w:name w:val="xl18"/>
    <w:basedOn w:val="Normal"/>
    <w:qFormat/>
    <w:pPr>
      <w:spacing w:before="280" w:after="280"/>
      <w:jc w:val="center"/>
    </w:pPr>
    <w:rPr>
      <w:sz w:val="12"/>
      <w:szCs w:val="12"/>
    </w:rPr>
  </w:style>
  <w:style w:type="paragraph" w:styleId="Lista2" w:customStyle="1">
    <w:name w:val="Lista 2"/>
    <w:basedOn w:val="Normal"/>
    <w:qFormat/>
    <w:pPr>
      <w:ind w:left="566" w:hanging="283"/>
    </w:pPr>
    <w:rPr>
      <w:sz w:val="20"/>
      <w:szCs w:val="20"/>
      <w:lang w:val="ro-RO"/>
    </w:rPr>
  </w:style>
  <w:style w:type="paragraph" w:styleId="Font5" w:customStyle="1">
    <w:name w:val="font5"/>
    <w:basedOn w:val="Normal"/>
    <w:qFormat/>
    <w:pPr>
      <w:spacing w:before="280" w:after="280"/>
    </w:pPr>
    <w:rPr>
      <w:rFonts w:ascii="Arial" w:hAnsi="Arial" w:cs="Arial"/>
      <w:b/>
      <w:bCs/>
      <w:color w:val="FF0000"/>
      <w:sz w:val="15"/>
      <w:szCs w:val="15"/>
    </w:rPr>
  </w:style>
  <w:style w:type="paragraph" w:styleId="Font6" w:customStyle="1">
    <w:name w:val="font6"/>
    <w:basedOn w:val="Normal"/>
    <w:qFormat/>
    <w:pPr>
      <w:spacing w:before="280" w:after="280"/>
    </w:pPr>
    <w:rPr>
      <w:rFonts w:ascii="Arial" w:hAnsi="Arial" w:cs="Arial"/>
      <w:color w:val="FF0000"/>
      <w:sz w:val="15"/>
      <w:szCs w:val="15"/>
    </w:rPr>
  </w:style>
  <w:style w:type="paragraph" w:styleId="Font7" w:customStyle="1">
    <w:name w:val="font7"/>
    <w:basedOn w:val="Normal"/>
    <w:qFormat/>
    <w:pPr>
      <w:spacing w:before="280" w:after="280"/>
    </w:pPr>
    <w:rPr>
      <w:rFonts w:ascii="Arial" w:hAnsi="Arial" w:cs="Arial"/>
      <w:b/>
      <w:bCs/>
      <w:color w:val="FF0000"/>
      <w:sz w:val="15"/>
      <w:szCs w:val="15"/>
    </w:rPr>
  </w:style>
  <w:style w:type="paragraph" w:styleId="Xl51" w:customStyle="1">
    <w:name w:val="xl51"/>
    <w:basedOn w:val="Normal"/>
    <w:qFormat/>
    <w:pPr>
      <w:pBdr>
        <w:top w:val="single" w:sz="8" w:space="0" w:color="000000"/>
        <w:bottom w:val="single" w:sz="4" w:space="0" w:color="000000"/>
      </w:pBdr>
      <w:spacing w:before="280" w:after="280"/>
      <w:jc w:val="center"/>
    </w:pPr>
    <w:rPr>
      <w:b/>
      <w:bCs/>
    </w:rPr>
  </w:style>
  <w:style w:type="paragraph" w:styleId="Xl52" w:customStyle="1">
    <w:name w:val="xl52"/>
    <w:basedOn w:val="Normal"/>
    <w:qFormat/>
    <w:pPr>
      <w:pBdr>
        <w:top w:val="single" w:sz="8" w:space="0" w:color="000000"/>
        <w:bottom w:val="single" w:sz="4" w:space="0" w:color="000000"/>
        <w:right w:val="single" w:sz="4" w:space="0" w:color="000000"/>
      </w:pBdr>
      <w:spacing w:before="280" w:after="280"/>
      <w:jc w:val="center"/>
    </w:pPr>
    <w:rPr>
      <w:b/>
      <w:bCs/>
    </w:rPr>
  </w:style>
  <w:style w:type="paragraph" w:styleId="Xl53" w:customStyle="1">
    <w:name w:val="xl53"/>
    <w:basedOn w:val="Normal"/>
    <w:qFormat/>
    <w:pPr>
      <w:pBdr>
        <w:top w:val="single" w:sz="8" w:space="0" w:color="000000"/>
        <w:bottom w:val="single" w:sz="4" w:space="0" w:color="000000"/>
      </w:pBdr>
      <w:spacing w:before="280" w:after="280"/>
      <w:jc w:val="center"/>
    </w:pPr>
    <w:rPr/>
  </w:style>
  <w:style w:type="paragraph" w:styleId="Xl54" w:customStyle="1">
    <w:name w:val="xl54"/>
    <w:basedOn w:val="Normal"/>
    <w:qFormat/>
    <w:pPr>
      <w:pBdr>
        <w:top w:val="single" w:sz="8" w:space="0" w:color="000000"/>
        <w:bottom w:val="single" w:sz="4" w:space="0" w:color="000000"/>
        <w:right w:val="single" w:sz="8" w:space="0" w:color="000000"/>
      </w:pBdr>
      <w:spacing w:before="280" w:after="280"/>
      <w:jc w:val="center"/>
    </w:pPr>
    <w:rPr/>
  </w:style>
  <w:style w:type="paragraph" w:styleId="Xl55" w:customStyle="1">
    <w:name w:val="xl55"/>
    <w:basedOn w:val="Normal"/>
    <w:qFormat/>
    <w:pPr>
      <w:pBdr>
        <w:left w:val="single" w:sz="4" w:space="0" w:color="000000"/>
        <w:right w:val="single" w:sz="4" w:space="0" w:color="000000"/>
      </w:pBdr>
      <w:spacing w:before="280" w:after="280"/>
    </w:pPr>
    <w:rPr/>
  </w:style>
  <w:style w:type="paragraph" w:styleId="CharChar1CharChar1" w:customStyle="1">
    <w:name w:val="Char Char1 Char Char1"/>
    <w:basedOn w:val="Normal"/>
    <w:qFormat/>
    <w:pPr/>
    <w:rPr>
      <w:lang w:val="pl-PL"/>
    </w:rPr>
  </w:style>
  <w:style w:type="paragraph" w:styleId="Cap1" w:customStyle="1">
    <w:name w:val="cap"/>
    <w:basedOn w:val="Textsimplu"/>
    <w:qFormat/>
    <w:pPr/>
    <w:rPr>
      <w:rFonts w:ascii="Arial" w:hAnsi="Arial" w:cs="Arial"/>
      <w:b/>
      <w:sz w:val="24"/>
    </w:rPr>
  </w:style>
  <w:style w:type="paragraph" w:styleId="NormalArial" w:customStyle="1">
    <w:name w:val="Normal + Arial"/>
    <w:basedOn w:val="Normal"/>
    <w:qFormat/>
    <w:pPr>
      <w:jc w:val="center"/>
    </w:pPr>
    <w:rPr>
      <w:rFonts w:ascii="Arial" w:hAnsi="Arial" w:cs="Arial"/>
      <w:sz w:val="16"/>
      <w:szCs w:val="16"/>
      <w:lang w:val="ro-RO"/>
    </w:rPr>
  </w:style>
  <w:style w:type="paragraph" w:styleId="Style8" w:customStyle="1">
    <w:name w:val="style8"/>
    <w:basedOn w:val="Normal"/>
    <w:qFormat/>
    <w:pPr>
      <w:spacing w:before="280" w:after="280"/>
    </w:pPr>
    <w:rPr>
      <w:sz w:val="18"/>
      <w:szCs w:val="18"/>
      <w:lang w:val="ro-RO"/>
    </w:rPr>
  </w:style>
  <w:style w:type="paragraph" w:styleId="Lista3" w:customStyle="1">
    <w:name w:val="Lista 3"/>
    <w:basedOn w:val="Normal"/>
    <w:qFormat/>
    <w:pPr>
      <w:ind w:left="849" w:hanging="283"/>
    </w:pPr>
    <w:rPr>
      <w:sz w:val="20"/>
      <w:szCs w:val="20"/>
      <w:lang w:val="ro-RO"/>
    </w:rPr>
  </w:style>
  <w:style w:type="paragraph" w:styleId="Normi" w:customStyle="1">
    <w:name w:val="normi"/>
    <w:basedOn w:val="Normal"/>
    <w:qFormat/>
    <w:pPr>
      <w:widowControl w:val="false"/>
      <w:spacing w:lineRule="auto" w:line="360"/>
      <w:ind w:firstLine="680"/>
      <w:jc w:val="both"/>
    </w:pPr>
    <w:rPr>
      <w:rFonts w:ascii="Tahoma" w:hAnsi="Tahoma" w:eastAsia="Tahoma" w:cs="Tahoma"/>
      <w:szCs w:val="20"/>
    </w:rPr>
  </w:style>
  <w:style w:type="paragraph" w:styleId="Tablazat" w:customStyle="1">
    <w:name w:val="tablazat"/>
    <w:basedOn w:val="Normal"/>
    <w:qFormat/>
    <w:pPr>
      <w:widowControl w:val="false"/>
      <w:jc w:val="center"/>
    </w:pPr>
    <w:rPr>
      <w:sz w:val="20"/>
      <w:szCs w:val="20"/>
    </w:rPr>
  </w:style>
  <w:style w:type="paragraph" w:styleId="Listparagraf" w:customStyle="1">
    <w:name w:val="Listă paragraf"/>
    <w:basedOn w:val="Normal"/>
    <w:qFormat/>
    <w:pPr>
      <w:spacing w:before="0" w:after="0"/>
      <w:ind w:left="720" w:hanging="0"/>
      <w:contextualSpacing/>
    </w:pPr>
    <w:rPr>
      <w:sz w:val="20"/>
      <w:szCs w:val="20"/>
    </w:rPr>
  </w:style>
  <w:style w:type="paragraph" w:styleId="Datecompl" w:customStyle="1">
    <w:name w:val="date compl"/>
    <w:basedOn w:val="Heading2"/>
    <w:qFormat/>
    <w:pPr>
      <w:keepNext w:val="false"/>
      <w:numPr>
        <w:ilvl w:val="0"/>
        <w:numId w:val="0"/>
      </w:numPr>
      <w:spacing w:before="0" w:after="200"/>
      <w:ind w:left="260" w:right="-108" w:hanging="0"/>
    </w:pPr>
    <w:rPr>
      <w:rFonts w:ascii="Arial" w:hAnsi="Arial" w:cs="Arial"/>
      <w:sz w:val="20"/>
    </w:rPr>
  </w:style>
  <w:style w:type="paragraph" w:styleId="Xl56" w:customStyle="1">
    <w:name w:val="xl56"/>
    <w:basedOn w:val="Normal"/>
    <w:qFormat/>
    <w:pPr>
      <w:pBdr>
        <w:left w:val="single" w:sz="8" w:space="0" w:color="000000"/>
        <w:right w:val="single" w:sz="4" w:space="0" w:color="000000"/>
      </w:pBdr>
      <w:shd w:val="clear" w:color="auto" w:fill="FFFFFF"/>
      <w:spacing w:before="280" w:after="280"/>
      <w:jc w:val="center"/>
      <w:textAlignment w:val="center"/>
    </w:pPr>
    <w:rPr/>
  </w:style>
  <w:style w:type="paragraph" w:styleId="Xl57" w:customStyle="1">
    <w:name w:val="xl57"/>
    <w:basedOn w:val="Normal"/>
    <w:qFormat/>
    <w:pPr>
      <w:pBdr>
        <w:left w:val="single" w:sz="4" w:space="0" w:color="000000"/>
        <w:right w:val="single" w:sz="4" w:space="0" w:color="000000"/>
      </w:pBdr>
      <w:shd w:val="clear" w:color="auto" w:fill="FFFFFF"/>
      <w:spacing w:before="280" w:after="280"/>
      <w:jc w:val="center"/>
      <w:textAlignment w:val="center"/>
    </w:pPr>
    <w:rPr/>
  </w:style>
  <w:style w:type="paragraph" w:styleId="Xl59" w:customStyle="1">
    <w:name w:val="xl59"/>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rPr>
  </w:style>
  <w:style w:type="paragraph" w:styleId="Xl61" w:customStyle="1">
    <w:name w:val="xl61"/>
    <w:basedOn w:val="Normal"/>
    <w:qFormat/>
    <w:pPr>
      <w:pBdr>
        <w:top w:val="single" w:sz="4" w:space="0" w:color="000000"/>
        <w:left w:val="single" w:sz="4" w:space="0" w:color="000000"/>
        <w:right w:val="single" w:sz="4" w:space="0" w:color="000000"/>
      </w:pBdr>
      <w:shd w:val="clear" w:color="auto" w:fill="FFFFFF"/>
      <w:spacing w:before="280" w:after="280"/>
    </w:pPr>
    <w:rPr/>
  </w:style>
  <w:style w:type="paragraph" w:styleId="Xl62" w:customStyle="1">
    <w:name w:val="xl62"/>
    <w:basedOn w:val="Normal"/>
    <w:qFormat/>
    <w:pPr>
      <w:pBdr>
        <w:top w:val="single" w:sz="4" w:space="0" w:color="000000"/>
        <w:left w:val="single" w:sz="4" w:space="0" w:color="000000"/>
        <w:right w:val="single" w:sz="8" w:space="0" w:color="000000"/>
      </w:pBdr>
      <w:shd w:val="clear" w:color="auto" w:fill="FFFFFF"/>
      <w:spacing w:before="280" w:after="280"/>
    </w:pPr>
    <w:rPr/>
  </w:style>
  <w:style w:type="paragraph" w:styleId="Xl63" w:customStyle="1">
    <w:name w:val="xl63"/>
    <w:basedOn w:val="Normal"/>
    <w:qFormat/>
    <w:pPr>
      <w:pBdr>
        <w:left w:val="single" w:sz="4" w:space="0" w:color="000000"/>
        <w:bottom w:val="single" w:sz="4" w:space="0" w:color="000000"/>
        <w:right w:val="single" w:sz="4" w:space="0" w:color="000000"/>
      </w:pBdr>
      <w:shd w:val="clear" w:color="auto" w:fill="FFFFFF"/>
      <w:spacing w:before="280" w:after="280"/>
      <w:jc w:val="center"/>
    </w:pPr>
    <w:rPr/>
  </w:style>
  <w:style w:type="paragraph" w:styleId="Xl64" w:customStyle="1">
    <w:name w:val="xl64"/>
    <w:basedOn w:val="Normal"/>
    <w:qFormat/>
    <w:pPr>
      <w:pBdr>
        <w:left w:val="single" w:sz="4" w:space="0" w:color="000000"/>
        <w:bottom w:val="single" w:sz="4" w:space="0" w:color="000000"/>
        <w:right w:val="single" w:sz="4" w:space="0" w:color="000000"/>
      </w:pBdr>
      <w:shd w:val="clear" w:color="auto" w:fill="FFFFFF"/>
      <w:spacing w:before="280" w:after="280"/>
    </w:pPr>
    <w:rPr/>
  </w:style>
  <w:style w:type="paragraph" w:styleId="Xl65" w:customStyle="1">
    <w:name w:val="xl65"/>
    <w:basedOn w:val="Normal"/>
    <w:qFormat/>
    <w:pPr>
      <w:pBdr>
        <w:left w:val="single" w:sz="4" w:space="0" w:color="000000"/>
        <w:bottom w:val="single" w:sz="4" w:space="0" w:color="000000"/>
        <w:right w:val="single" w:sz="4" w:space="0" w:color="000000"/>
      </w:pBdr>
      <w:shd w:val="clear" w:color="auto" w:fill="FFFFFF"/>
      <w:spacing w:before="280" w:after="280"/>
    </w:pPr>
    <w:rPr/>
  </w:style>
  <w:style w:type="paragraph" w:styleId="Xl66" w:customStyle="1">
    <w:name w:val="xl66"/>
    <w:basedOn w:val="Normal"/>
    <w:qFormat/>
    <w:pPr>
      <w:pBdr>
        <w:left w:val="single" w:sz="4" w:space="0" w:color="000000"/>
        <w:bottom w:val="single" w:sz="4" w:space="0" w:color="000000"/>
        <w:right w:val="single" w:sz="8" w:space="0" w:color="000000"/>
      </w:pBdr>
      <w:shd w:val="clear" w:color="auto" w:fill="FFFFFF"/>
      <w:spacing w:before="280" w:after="280"/>
    </w:pPr>
    <w:rPr/>
  </w:style>
  <w:style w:type="paragraph" w:styleId="Xl67" w:customStyle="1">
    <w:name w:val="xl67"/>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tyle>
  <w:style w:type="paragraph" w:styleId="Xl68" w:customStyle="1">
    <w:name w:val="xl68"/>
    <w:basedOn w:val="Normal"/>
    <w:qFormat/>
    <w:pPr>
      <w:pBdr>
        <w:left w:val="single" w:sz="8" w:space="0" w:color="000000"/>
        <w:bottom w:val="single" w:sz="8" w:space="0" w:color="000000"/>
        <w:right w:val="single" w:sz="4" w:space="0" w:color="000000"/>
      </w:pBdr>
      <w:shd w:val="clear" w:color="auto" w:fill="FFFFFF"/>
      <w:spacing w:before="280" w:after="280"/>
      <w:jc w:val="center"/>
      <w:textAlignment w:val="center"/>
    </w:pPr>
    <w:rPr/>
  </w:style>
  <w:style w:type="paragraph" w:styleId="Xl69" w:customStyle="1">
    <w:name w:val="xl69"/>
    <w:basedOn w:val="Normal"/>
    <w:qFormat/>
    <w:pPr>
      <w:pBdr>
        <w:left w:val="single" w:sz="4" w:space="0" w:color="000000"/>
        <w:bottom w:val="single" w:sz="8" w:space="0" w:color="000000"/>
        <w:right w:val="single" w:sz="4" w:space="0" w:color="000000"/>
      </w:pBdr>
      <w:shd w:val="clear" w:color="auto" w:fill="FFFFFF"/>
      <w:spacing w:before="280" w:after="280"/>
      <w:jc w:val="center"/>
      <w:textAlignment w:val="center"/>
    </w:pPr>
    <w:rPr/>
  </w:style>
  <w:style w:type="paragraph" w:styleId="Xl70" w:customStyle="1">
    <w:name w:val="xl70"/>
    <w:basedOn w:val="Normal"/>
    <w:qFormat/>
    <w:pPr>
      <w:pBdr>
        <w:left w:val="single" w:sz="4" w:space="0" w:color="000000"/>
        <w:bottom w:val="single" w:sz="8" w:space="0" w:color="000000"/>
        <w:right w:val="single" w:sz="4" w:space="0" w:color="000000"/>
      </w:pBdr>
      <w:shd w:val="clear" w:color="auto" w:fill="FFFFFF"/>
      <w:spacing w:before="280" w:after="280"/>
      <w:jc w:val="center"/>
      <w:textAlignment w:val="center"/>
    </w:pPr>
    <w:rPr/>
  </w:style>
  <w:style w:type="paragraph" w:styleId="Xl71" w:customStyle="1">
    <w:name w:val="xl71"/>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jc w:val="center"/>
    </w:pPr>
    <w:rPr/>
  </w:style>
  <w:style w:type="paragraph" w:styleId="Xl72" w:customStyle="1">
    <w:name w:val="xl72"/>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pPr>
    <w:rPr/>
  </w:style>
  <w:style w:type="paragraph" w:styleId="Xl73" w:customStyle="1">
    <w:name w:val="xl73"/>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tyle>
  <w:style w:type="paragraph" w:styleId="Xl74" w:customStyle="1">
    <w:name w:val="xl74"/>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tyle>
  <w:style w:type="paragraph" w:styleId="Xl75" w:customStyle="1">
    <w:name w:val="xl75"/>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tyle>
  <w:style w:type="paragraph" w:styleId="Xl76" w:customStyle="1">
    <w:name w:val="xl76"/>
    <w:basedOn w:val="Normal"/>
    <w:qFormat/>
    <w:pPr>
      <w:pBdr>
        <w:top w:val="single" w:sz="4" w:space="0" w:color="000000"/>
        <w:left w:val="single" w:sz="4" w:space="0" w:color="000000"/>
        <w:bottom w:val="single" w:sz="4" w:space="0" w:color="000000"/>
        <w:right w:val="single" w:sz="8" w:space="0" w:color="000000"/>
      </w:pBdr>
      <w:shd w:val="clear" w:color="auto" w:fill="FFFFFF"/>
      <w:spacing w:before="280" w:after="280"/>
    </w:pPr>
    <w:rPr/>
  </w:style>
  <w:style w:type="paragraph" w:styleId="Xl77" w:customStyle="1">
    <w:name w:val="xl77"/>
    <w:basedOn w:val="Normal"/>
    <w:qFormat/>
    <w:pPr>
      <w:pBdr>
        <w:left w:val="single" w:sz="8" w:space="0" w:color="000000"/>
        <w:bottom w:val="single" w:sz="4" w:space="0" w:color="000000"/>
        <w:right w:val="single" w:sz="4" w:space="0" w:color="000000"/>
      </w:pBdr>
      <w:shd w:val="clear" w:color="auto" w:fill="FFFFFF"/>
      <w:spacing w:before="280" w:after="280"/>
      <w:jc w:val="center"/>
      <w:textAlignment w:val="center"/>
    </w:pPr>
    <w:rPr/>
  </w:style>
  <w:style w:type="paragraph" w:styleId="Xl78" w:customStyle="1">
    <w:name w:val="xl78"/>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79" w:customStyle="1">
    <w:name w:val="xl79"/>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80" w:customStyle="1">
    <w:name w:val="xl80"/>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b/>
      <w:bCs/>
    </w:rPr>
  </w:style>
  <w:style w:type="paragraph" w:styleId="Xl81" w:customStyle="1">
    <w:name w:val="xl81"/>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82" w:customStyle="1">
    <w:name w:val="xl82"/>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83" w:customStyle="1">
    <w:name w:val="xl83"/>
    <w:basedOn w:val="Normal"/>
    <w:qFormat/>
    <w:pPr>
      <w:pBdr>
        <w:top w:val="single" w:sz="4" w:space="0" w:color="000000"/>
        <w:left w:val="single" w:sz="4" w:space="0" w:color="000000"/>
        <w:right w:val="single" w:sz="4" w:space="0" w:color="000000"/>
      </w:pBdr>
      <w:shd w:val="clear" w:color="auto" w:fill="FFFFFF"/>
      <w:spacing w:before="280" w:after="280"/>
    </w:pPr>
    <w:rPr/>
  </w:style>
  <w:style w:type="paragraph" w:styleId="Xl84" w:customStyle="1">
    <w:name w:val="xl84"/>
    <w:basedOn w:val="Normal"/>
    <w:qFormat/>
    <w:pPr>
      <w:pBdr>
        <w:left w:val="single" w:sz="4" w:space="0" w:color="000000"/>
        <w:right w:val="single" w:sz="4" w:space="0" w:color="000000"/>
      </w:pBdr>
      <w:shd w:val="clear" w:color="auto" w:fill="FFFFFF"/>
      <w:spacing w:before="280" w:after="280"/>
      <w:jc w:val="center"/>
    </w:pPr>
    <w:rPr/>
  </w:style>
  <w:style w:type="paragraph" w:styleId="Xl85" w:customStyle="1">
    <w:name w:val="xl85"/>
    <w:basedOn w:val="Normal"/>
    <w:qFormat/>
    <w:pPr>
      <w:pBdr>
        <w:left w:val="single" w:sz="4" w:space="0" w:color="000000"/>
        <w:right w:val="single" w:sz="4" w:space="0" w:color="000000"/>
      </w:pBdr>
      <w:shd w:val="clear" w:color="auto" w:fill="FFFFFF"/>
      <w:spacing w:before="280" w:after="280"/>
    </w:pPr>
    <w:rPr/>
  </w:style>
  <w:style w:type="paragraph" w:styleId="Xl86" w:customStyle="1">
    <w:name w:val="xl86"/>
    <w:basedOn w:val="Normal"/>
    <w:qFormat/>
    <w:pPr>
      <w:pBdr>
        <w:left w:val="single" w:sz="4" w:space="0" w:color="000000"/>
        <w:right w:val="single" w:sz="4" w:space="0" w:color="000000"/>
      </w:pBdr>
      <w:shd w:val="clear" w:color="auto" w:fill="FFFFFF"/>
      <w:spacing w:before="280" w:after="280"/>
    </w:pPr>
    <w:rPr/>
  </w:style>
  <w:style w:type="paragraph" w:styleId="Xl87" w:customStyle="1">
    <w:name w:val="xl87"/>
    <w:basedOn w:val="Normal"/>
    <w:qFormat/>
    <w:pPr>
      <w:pBdr>
        <w:left w:val="single" w:sz="4" w:space="0" w:color="000000"/>
        <w:right w:val="single" w:sz="8" w:space="0" w:color="000000"/>
      </w:pBdr>
      <w:shd w:val="clear" w:color="auto" w:fill="FFFFFF"/>
      <w:spacing w:before="280" w:after="280"/>
    </w:pPr>
    <w:rPr/>
  </w:style>
  <w:style w:type="paragraph" w:styleId="Xl88" w:customStyle="1">
    <w:name w:val="xl88"/>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pPr>
    <w:rPr>
      <w:b/>
      <w:bCs/>
    </w:rPr>
  </w:style>
  <w:style w:type="paragraph" w:styleId="Xl89" w:customStyle="1">
    <w:name w:val="xl89"/>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pPr>
    <w:rPr>
      <w:b/>
      <w:bCs/>
    </w:rPr>
  </w:style>
  <w:style w:type="paragraph" w:styleId="Xl90" w:customStyle="1">
    <w:name w:val="xl90"/>
    <w:basedOn w:val="Normal"/>
    <w:qFormat/>
    <w:pPr>
      <w:pBdr>
        <w:top w:val="single" w:sz="4" w:space="0" w:color="000000"/>
        <w:left w:val="single" w:sz="4" w:space="0" w:color="000000"/>
        <w:bottom w:val="single" w:sz="8" w:space="0" w:color="000000"/>
        <w:right w:val="single" w:sz="8" w:space="0" w:color="000000"/>
      </w:pBdr>
      <w:shd w:val="clear" w:color="auto" w:fill="FFFFFF"/>
      <w:spacing w:before="280" w:after="280"/>
    </w:pPr>
    <w:rPr/>
  </w:style>
  <w:style w:type="paragraph" w:styleId="Xl91" w:customStyle="1">
    <w:name w:val="xl91"/>
    <w:basedOn w:val="Normal"/>
    <w:qFormat/>
    <w:pPr>
      <w:pBdr>
        <w:left w:val="single" w:sz="8" w:space="0" w:color="000000"/>
        <w:right w:val="single" w:sz="4" w:space="0" w:color="000000"/>
      </w:pBdr>
      <w:shd w:val="clear" w:color="auto" w:fill="FFFFFF"/>
      <w:spacing w:before="280" w:after="280"/>
      <w:jc w:val="center"/>
      <w:textAlignment w:val="center"/>
    </w:pPr>
    <w:rPr>
      <w:b/>
      <w:bCs/>
    </w:rPr>
  </w:style>
  <w:style w:type="paragraph" w:styleId="Xl92" w:customStyle="1">
    <w:name w:val="xl92"/>
    <w:basedOn w:val="Normal"/>
    <w:qFormat/>
    <w:pPr>
      <w:pBdr>
        <w:left w:val="single" w:sz="4" w:space="0" w:color="000000"/>
        <w:right w:val="single" w:sz="4" w:space="0" w:color="000000"/>
      </w:pBdr>
      <w:shd w:val="clear" w:color="auto" w:fill="FFFFFF"/>
      <w:spacing w:before="280" w:after="280"/>
      <w:jc w:val="center"/>
      <w:textAlignment w:val="center"/>
    </w:pPr>
    <w:rPr>
      <w:b/>
      <w:bCs/>
    </w:rPr>
  </w:style>
  <w:style w:type="paragraph" w:styleId="Xl93" w:customStyle="1">
    <w:name w:val="xl93"/>
    <w:basedOn w:val="Normal"/>
    <w:qFormat/>
    <w:pPr>
      <w:pBdr>
        <w:left w:val="single" w:sz="4" w:space="0" w:color="000000"/>
        <w:bottom w:val="single" w:sz="4" w:space="0" w:color="000000"/>
        <w:right w:val="single" w:sz="4" w:space="0" w:color="000000"/>
      </w:pBdr>
      <w:shd w:val="clear" w:color="auto" w:fill="FFFFFF"/>
      <w:spacing w:before="280" w:after="280"/>
    </w:pPr>
    <w:rPr>
      <w:b/>
      <w:bCs/>
    </w:rPr>
  </w:style>
  <w:style w:type="paragraph" w:styleId="Xl94" w:customStyle="1">
    <w:name w:val="xl94"/>
    <w:basedOn w:val="Normal"/>
    <w:qFormat/>
    <w:pPr>
      <w:pBdr>
        <w:left w:val="single" w:sz="4" w:space="0" w:color="000000"/>
        <w:right w:val="single" w:sz="4" w:space="0" w:color="000000"/>
      </w:pBdr>
      <w:shd w:val="clear" w:color="auto" w:fill="FFFFFF"/>
      <w:spacing w:before="280" w:after="280"/>
      <w:jc w:val="center"/>
      <w:textAlignment w:val="center"/>
    </w:pPr>
    <w:rPr>
      <w:b/>
      <w:bCs/>
    </w:rPr>
  </w:style>
  <w:style w:type="paragraph" w:styleId="Xl95" w:customStyle="1">
    <w:name w:val="xl95"/>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b/>
      <w:bCs/>
    </w:rPr>
  </w:style>
  <w:style w:type="paragraph" w:styleId="Xl96" w:customStyle="1">
    <w:name w:val="xl96"/>
    <w:basedOn w:val="Normal"/>
    <w:qFormat/>
    <w:pPr>
      <w:pBdr>
        <w:left w:val="single" w:sz="8" w:space="0" w:color="000000"/>
        <w:bottom w:val="single" w:sz="8" w:space="0" w:color="000000"/>
        <w:right w:val="single" w:sz="4" w:space="0" w:color="000000"/>
      </w:pBdr>
      <w:shd w:val="clear" w:color="auto" w:fill="FFFFFF"/>
      <w:spacing w:before="280" w:after="280"/>
      <w:jc w:val="center"/>
      <w:textAlignment w:val="center"/>
    </w:pPr>
    <w:rPr>
      <w:b/>
      <w:bCs/>
    </w:rPr>
  </w:style>
  <w:style w:type="paragraph" w:styleId="Xl97" w:customStyle="1">
    <w:name w:val="xl97"/>
    <w:basedOn w:val="Normal"/>
    <w:qFormat/>
    <w:pPr>
      <w:pBdr>
        <w:left w:val="single" w:sz="4" w:space="0" w:color="000000"/>
        <w:bottom w:val="single" w:sz="8" w:space="0" w:color="000000"/>
        <w:right w:val="single" w:sz="4" w:space="0" w:color="000000"/>
      </w:pBdr>
      <w:shd w:val="clear" w:color="auto" w:fill="FFFFFF"/>
      <w:spacing w:before="280" w:after="280"/>
      <w:jc w:val="center"/>
      <w:textAlignment w:val="center"/>
    </w:pPr>
    <w:rPr>
      <w:b/>
      <w:bCs/>
    </w:rPr>
  </w:style>
  <w:style w:type="paragraph" w:styleId="Xl98" w:customStyle="1">
    <w:name w:val="xl98"/>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pPr>
    <w:rPr/>
  </w:style>
  <w:style w:type="paragraph" w:styleId="Xl99" w:customStyle="1">
    <w:name w:val="xl99"/>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100" w:customStyle="1">
    <w:name w:val="xl100"/>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01" w:customStyle="1">
    <w:name w:val="xl101"/>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02" w:customStyle="1">
    <w:name w:val="xl102"/>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b/>
      <w:bCs/>
    </w:rPr>
  </w:style>
  <w:style w:type="paragraph" w:styleId="Xl103" w:customStyle="1">
    <w:name w:val="xl103"/>
    <w:basedOn w:val="Normal"/>
    <w:qFormat/>
    <w:pPr>
      <w:pBdr>
        <w:left w:val="single" w:sz="8" w:space="0" w:color="000000"/>
        <w:bottom w:val="single" w:sz="4" w:space="0" w:color="000000"/>
        <w:right w:val="single" w:sz="4" w:space="0" w:color="000000"/>
      </w:pBdr>
      <w:shd w:val="clear" w:color="auto" w:fill="FFFFFF"/>
      <w:spacing w:before="280" w:after="280"/>
      <w:jc w:val="center"/>
      <w:textAlignment w:val="center"/>
    </w:pPr>
    <w:rPr>
      <w:b/>
      <w:bCs/>
    </w:rPr>
  </w:style>
  <w:style w:type="paragraph" w:styleId="Xl104" w:customStyle="1">
    <w:name w:val="xl104"/>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b/>
      <w:bCs/>
    </w:rPr>
  </w:style>
  <w:style w:type="paragraph" w:styleId="Xl105" w:customStyle="1">
    <w:name w:val="xl105"/>
    <w:basedOn w:val="Normal"/>
    <w:qFormat/>
    <w:pPr>
      <w:pBdr>
        <w:left w:val="single" w:sz="4" w:space="0" w:color="000000"/>
        <w:bottom w:val="single" w:sz="4" w:space="0" w:color="000000"/>
        <w:right w:val="single" w:sz="4" w:space="0" w:color="000000"/>
      </w:pBdr>
      <w:shd w:val="clear" w:color="auto" w:fill="FFFFFF"/>
      <w:spacing w:before="280" w:after="280"/>
    </w:pPr>
    <w:rPr>
      <w:b/>
      <w:bCs/>
    </w:rPr>
  </w:style>
  <w:style w:type="paragraph" w:styleId="Xl106" w:customStyle="1">
    <w:name w:val="xl106"/>
    <w:basedOn w:val="Normal"/>
    <w:qFormat/>
    <w:pPr>
      <w:pBdr>
        <w:top w:val="single" w:sz="4" w:space="0" w:color="000000"/>
        <w:right w:val="single" w:sz="4" w:space="0" w:color="000000"/>
      </w:pBdr>
      <w:spacing w:before="280" w:after="280"/>
    </w:pPr>
    <w:rPr/>
  </w:style>
  <w:style w:type="paragraph" w:styleId="Xl107" w:customStyle="1">
    <w:name w:val="xl107"/>
    <w:basedOn w:val="Normal"/>
    <w:qFormat/>
    <w:pPr>
      <w:pBdr>
        <w:left w:val="single" w:sz="8" w:space="0" w:color="000000"/>
        <w:right w:val="single" w:sz="4" w:space="0" w:color="000000"/>
      </w:pBdr>
      <w:shd w:val="clear" w:color="auto" w:fill="FFFFFF"/>
      <w:spacing w:before="280" w:after="280"/>
      <w:textAlignment w:val="center"/>
    </w:pPr>
    <w:rPr/>
  </w:style>
  <w:style w:type="paragraph" w:styleId="Xl108" w:customStyle="1">
    <w:name w:val="xl108"/>
    <w:basedOn w:val="Normal"/>
    <w:qFormat/>
    <w:pPr>
      <w:pBdr>
        <w:left w:val="single" w:sz="4" w:space="0" w:color="000000"/>
        <w:right w:val="single" w:sz="4" w:space="0" w:color="000000"/>
      </w:pBdr>
      <w:shd w:val="clear" w:color="auto" w:fill="FFFFFF"/>
      <w:spacing w:before="280" w:after="280"/>
      <w:textAlignment w:val="center"/>
    </w:pPr>
    <w:rPr/>
  </w:style>
  <w:style w:type="paragraph" w:styleId="Xl109" w:customStyle="1">
    <w:name w:val="xl109"/>
    <w:basedOn w:val="Normal"/>
    <w:qFormat/>
    <w:pPr>
      <w:pBdr>
        <w:left w:val="single" w:sz="4" w:space="0" w:color="000000"/>
        <w:right w:val="single" w:sz="4" w:space="0" w:color="000000"/>
      </w:pBdr>
      <w:shd w:val="clear" w:color="auto" w:fill="FFFFFF"/>
      <w:spacing w:before="280" w:after="280"/>
      <w:textAlignment w:val="center"/>
    </w:pPr>
    <w:rPr/>
  </w:style>
  <w:style w:type="paragraph" w:styleId="Xl110" w:customStyle="1">
    <w:name w:val="xl110"/>
    <w:basedOn w:val="Normal"/>
    <w:qFormat/>
    <w:pPr>
      <w:pBdr>
        <w:right w:val="single" w:sz="4" w:space="0" w:color="000000"/>
      </w:pBdr>
      <w:shd w:val="clear" w:color="auto" w:fill="FFFFFF"/>
      <w:spacing w:before="280" w:after="280"/>
      <w:textAlignment w:val="center"/>
    </w:pPr>
    <w:rPr/>
  </w:style>
  <w:style w:type="paragraph" w:styleId="Xl111" w:customStyle="1">
    <w:name w:val="xl111"/>
    <w:basedOn w:val="Normal"/>
    <w:qFormat/>
    <w:pPr>
      <w:pBdr>
        <w:left w:val="single" w:sz="8" w:space="0" w:color="000000"/>
        <w:bottom w:val="single" w:sz="8" w:space="0" w:color="000000"/>
        <w:right w:val="single" w:sz="4" w:space="0" w:color="000000"/>
      </w:pBdr>
      <w:shd w:val="clear" w:color="auto" w:fill="FFFFFF"/>
      <w:spacing w:before="280" w:after="280"/>
      <w:textAlignment w:val="center"/>
    </w:pPr>
    <w:rPr/>
  </w:style>
  <w:style w:type="paragraph" w:styleId="Xl112" w:customStyle="1">
    <w:name w:val="xl112"/>
    <w:basedOn w:val="Normal"/>
    <w:qFormat/>
    <w:pPr>
      <w:pBdr>
        <w:left w:val="single" w:sz="4" w:space="0" w:color="000000"/>
        <w:bottom w:val="single" w:sz="8" w:space="0" w:color="000000"/>
        <w:right w:val="single" w:sz="4" w:space="0" w:color="000000"/>
      </w:pBdr>
      <w:shd w:val="clear" w:color="auto" w:fill="FFFFFF"/>
      <w:spacing w:before="280" w:after="280"/>
      <w:textAlignment w:val="center"/>
    </w:pPr>
    <w:rPr/>
  </w:style>
  <w:style w:type="paragraph" w:styleId="Xl113" w:customStyle="1">
    <w:name w:val="xl113"/>
    <w:basedOn w:val="Normal"/>
    <w:qFormat/>
    <w:pPr>
      <w:pBdr>
        <w:left w:val="single" w:sz="4" w:space="0" w:color="000000"/>
        <w:bottom w:val="single" w:sz="8" w:space="0" w:color="000000"/>
        <w:right w:val="single" w:sz="4" w:space="0" w:color="000000"/>
      </w:pBdr>
      <w:shd w:val="clear" w:color="auto" w:fill="FFFFFF"/>
      <w:spacing w:before="280" w:after="280"/>
      <w:textAlignment w:val="center"/>
    </w:pPr>
    <w:rPr/>
  </w:style>
  <w:style w:type="paragraph" w:styleId="Xl114" w:customStyle="1">
    <w:name w:val="xl114"/>
    <w:basedOn w:val="Normal"/>
    <w:qFormat/>
    <w:pPr>
      <w:pBdr>
        <w:left w:val="single" w:sz="4" w:space="0" w:color="000000"/>
        <w:bottom w:val="single" w:sz="4" w:space="0" w:color="000000"/>
        <w:right w:val="single" w:sz="4" w:space="0" w:color="000000"/>
      </w:pBdr>
      <w:shd w:val="clear" w:color="auto" w:fill="FFFFFF"/>
      <w:spacing w:before="280" w:after="280"/>
      <w:jc w:val="center"/>
    </w:pPr>
    <w:rPr/>
  </w:style>
  <w:style w:type="paragraph" w:styleId="Xl115" w:customStyle="1">
    <w:name w:val="xl115"/>
    <w:basedOn w:val="Normal"/>
    <w:qFormat/>
    <w:pPr>
      <w:pBdr>
        <w:left w:val="single" w:sz="8" w:space="0" w:color="000000"/>
        <w:bottom w:val="single" w:sz="4" w:space="0" w:color="000000"/>
        <w:right w:val="single" w:sz="4" w:space="0" w:color="000000"/>
      </w:pBdr>
      <w:shd w:val="clear" w:color="auto" w:fill="FFFFFF"/>
      <w:spacing w:before="280" w:after="280"/>
      <w:textAlignment w:val="center"/>
    </w:pPr>
    <w:rPr/>
  </w:style>
  <w:style w:type="paragraph" w:styleId="Xl116" w:customStyle="1">
    <w:name w:val="xl116"/>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17" w:customStyle="1">
    <w:name w:val="xl117"/>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18" w:customStyle="1">
    <w:name w:val="xl118"/>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b/>
      <w:bCs/>
    </w:rPr>
  </w:style>
  <w:style w:type="paragraph" w:styleId="Xl119" w:customStyle="1">
    <w:name w:val="xl119"/>
    <w:basedOn w:val="Normal"/>
    <w:qFormat/>
    <w:pPr>
      <w:pBdr>
        <w:top w:val="single" w:sz="4" w:space="0" w:color="000000"/>
        <w:left w:val="single" w:sz="8" w:space="0" w:color="000000"/>
        <w:right w:val="single" w:sz="4" w:space="0" w:color="000000"/>
      </w:pBdr>
      <w:shd w:val="clear" w:color="auto" w:fill="FFFFFF"/>
      <w:spacing w:before="280" w:after="280"/>
      <w:textAlignment w:val="center"/>
    </w:pPr>
    <w:rPr/>
  </w:style>
  <w:style w:type="paragraph" w:styleId="Xl120" w:customStyle="1">
    <w:name w:val="xl120"/>
    <w:basedOn w:val="Normal"/>
    <w:qFormat/>
    <w:pPr>
      <w:pBdr>
        <w:top w:val="single" w:sz="4" w:space="0" w:color="000000"/>
        <w:left w:val="single" w:sz="4" w:space="0" w:color="000000"/>
        <w:right w:val="single" w:sz="4" w:space="0" w:color="000000"/>
      </w:pBdr>
      <w:shd w:val="clear" w:color="auto" w:fill="FFFFFF"/>
      <w:spacing w:before="280" w:after="280"/>
      <w:textAlignment w:val="center"/>
    </w:pPr>
    <w:rPr/>
  </w:style>
  <w:style w:type="paragraph" w:styleId="Xl121" w:customStyle="1">
    <w:name w:val="xl121"/>
    <w:basedOn w:val="Normal"/>
    <w:qFormat/>
    <w:pPr>
      <w:pBdr>
        <w:top w:val="single" w:sz="4" w:space="0" w:color="000000"/>
        <w:left w:val="single" w:sz="4" w:space="0" w:color="000000"/>
        <w:right w:val="single" w:sz="4" w:space="0" w:color="000000"/>
      </w:pBdr>
      <w:shd w:val="clear" w:color="auto" w:fill="FFFFFF"/>
      <w:spacing w:before="280" w:after="280"/>
      <w:textAlignment w:val="center"/>
    </w:pPr>
    <w:rPr/>
  </w:style>
  <w:style w:type="paragraph" w:styleId="Xl122" w:customStyle="1">
    <w:name w:val="xl122"/>
    <w:basedOn w:val="Normal"/>
    <w:qFormat/>
    <w:pPr>
      <w:pBdr>
        <w:left w:val="single" w:sz="8" w:space="0" w:color="000000"/>
        <w:right w:val="single" w:sz="4" w:space="0" w:color="000000"/>
      </w:pBdr>
      <w:shd w:val="clear" w:color="auto" w:fill="FFFFFF"/>
      <w:spacing w:before="280" w:after="280"/>
      <w:textAlignment w:val="center"/>
    </w:pPr>
    <w:rPr/>
  </w:style>
  <w:style w:type="paragraph" w:styleId="Xl123" w:customStyle="1">
    <w:name w:val="xl123"/>
    <w:basedOn w:val="Normal"/>
    <w:qFormat/>
    <w:pPr>
      <w:pBdr>
        <w:left w:val="single" w:sz="4" w:space="0" w:color="000000"/>
        <w:right w:val="single" w:sz="4" w:space="0" w:color="000000"/>
      </w:pBdr>
      <w:shd w:val="clear" w:color="auto" w:fill="FFFFFF"/>
      <w:spacing w:before="280" w:after="280"/>
      <w:textAlignment w:val="center"/>
    </w:pPr>
    <w:rPr/>
  </w:style>
  <w:style w:type="paragraph" w:styleId="Xl124" w:customStyle="1">
    <w:name w:val="xl124"/>
    <w:basedOn w:val="Normal"/>
    <w:qFormat/>
    <w:pPr>
      <w:pBdr>
        <w:left w:val="single" w:sz="4" w:space="0" w:color="000000"/>
        <w:right w:val="single" w:sz="4" w:space="0" w:color="000000"/>
      </w:pBdr>
      <w:shd w:val="clear" w:color="auto" w:fill="FFFFFF"/>
      <w:spacing w:before="280" w:after="280"/>
      <w:textAlignment w:val="center"/>
    </w:pPr>
    <w:rPr/>
  </w:style>
  <w:style w:type="paragraph" w:styleId="Xl125" w:customStyle="1">
    <w:name w:val="xl125"/>
    <w:basedOn w:val="Normal"/>
    <w:qFormat/>
    <w:pPr>
      <w:pBdr>
        <w:right w:val="single" w:sz="4" w:space="0" w:color="000000"/>
      </w:pBdr>
      <w:shd w:val="clear" w:color="auto" w:fill="FFFFFF"/>
      <w:spacing w:before="280" w:after="280"/>
      <w:textAlignment w:val="center"/>
    </w:pPr>
    <w:rPr/>
  </w:style>
  <w:style w:type="paragraph" w:styleId="Xl126" w:customStyle="1">
    <w:name w:val="xl126"/>
    <w:basedOn w:val="Normal"/>
    <w:qFormat/>
    <w:pPr>
      <w:pBdr>
        <w:left w:val="single" w:sz="8" w:space="0" w:color="000000"/>
        <w:bottom w:val="single" w:sz="8" w:space="0" w:color="000000"/>
        <w:right w:val="single" w:sz="4" w:space="0" w:color="000000"/>
      </w:pBdr>
      <w:shd w:val="clear" w:color="auto" w:fill="FFFFFF"/>
      <w:spacing w:before="280" w:after="280"/>
      <w:textAlignment w:val="center"/>
    </w:pPr>
    <w:rPr/>
  </w:style>
  <w:style w:type="paragraph" w:styleId="Xl127" w:customStyle="1">
    <w:name w:val="xl127"/>
    <w:basedOn w:val="Normal"/>
    <w:qFormat/>
    <w:pPr>
      <w:pBdr>
        <w:left w:val="single" w:sz="4" w:space="0" w:color="000000"/>
        <w:bottom w:val="single" w:sz="8" w:space="0" w:color="000000"/>
        <w:right w:val="single" w:sz="4" w:space="0" w:color="000000"/>
      </w:pBdr>
      <w:shd w:val="clear" w:color="auto" w:fill="FFFFFF"/>
      <w:spacing w:before="280" w:after="280"/>
      <w:textAlignment w:val="center"/>
    </w:pPr>
    <w:rPr/>
  </w:style>
  <w:style w:type="paragraph" w:styleId="Xl128" w:customStyle="1">
    <w:name w:val="xl128"/>
    <w:basedOn w:val="Normal"/>
    <w:qFormat/>
    <w:pPr>
      <w:pBdr>
        <w:left w:val="single" w:sz="4" w:space="0" w:color="000000"/>
        <w:bottom w:val="single" w:sz="8" w:space="0" w:color="000000"/>
        <w:right w:val="single" w:sz="4" w:space="0" w:color="000000"/>
      </w:pBdr>
      <w:shd w:val="clear" w:color="auto" w:fill="FFFFFF"/>
      <w:spacing w:before="280" w:after="280"/>
      <w:textAlignment w:val="center"/>
    </w:pPr>
    <w:rPr/>
  </w:style>
  <w:style w:type="paragraph" w:styleId="Xl129" w:customStyle="1">
    <w:name w:val="xl129"/>
    <w:basedOn w:val="Normal"/>
    <w:qFormat/>
    <w:pPr>
      <w:pBdr>
        <w:left w:val="single" w:sz="8" w:space="0" w:color="000000"/>
        <w:bottom w:val="single" w:sz="4" w:space="0" w:color="000000"/>
        <w:right w:val="single" w:sz="4" w:space="0" w:color="000000"/>
      </w:pBdr>
      <w:shd w:val="clear" w:color="auto" w:fill="FFFFFF"/>
      <w:spacing w:before="280" w:after="280"/>
      <w:textAlignment w:val="center"/>
    </w:pPr>
    <w:rPr/>
  </w:style>
  <w:style w:type="paragraph" w:styleId="Xl130" w:customStyle="1">
    <w:name w:val="xl130"/>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31" w:customStyle="1">
    <w:name w:val="xl131"/>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32" w:customStyle="1">
    <w:name w:val="xl132"/>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styleId="Xl133" w:customStyle="1">
    <w:name w:val="xl133"/>
    <w:basedOn w:val="Normal"/>
    <w:qFormat/>
    <w:pPr>
      <w:pBdr>
        <w:left w:val="single" w:sz="8" w:space="0" w:color="000000"/>
        <w:bottom w:val="single" w:sz="4" w:space="0" w:color="000000"/>
        <w:right w:val="single" w:sz="4" w:space="0" w:color="000000"/>
      </w:pBdr>
      <w:shd w:val="clear" w:color="auto" w:fill="FFFFFF"/>
      <w:spacing w:before="280" w:after="280"/>
      <w:jc w:val="center"/>
      <w:textAlignment w:val="center"/>
    </w:pPr>
    <w:rPr/>
  </w:style>
  <w:style w:type="paragraph" w:styleId="Xl134" w:customStyle="1">
    <w:name w:val="xl134"/>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b/>
      <w:bCs/>
    </w:rPr>
  </w:style>
  <w:style w:type="paragraph" w:styleId="Xl135" w:customStyle="1">
    <w:name w:val="xl135"/>
    <w:basedOn w:val="Normal"/>
    <w:qFormat/>
    <w:pPr>
      <w:pBdr>
        <w:top w:val="single" w:sz="4" w:space="0" w:color="000000"/>
        <w:left w:val="single" w:sz="8" w:space="0" w:color="000000"/>
        <w:bottom w:val="single" w:sz="4" w:space="0" w:color="000000"/>
        <w:right w:val="single" w:sz="4" w:space="0" w:color="000000"/>
      </w:pBdr>
      <w:shd w:val="clear" w:color="auto" w:fill="FFFFFF"/>
      <w:spacing w:before="280" w:after="280"/>
      <w:jc w:val="center"/>
    </w:pPr>
    <w:rPr/>
  </w:style>
  <w:style w:type="paragraph" w:styleId="Xl136" w:customStyle="1">
    <w:name w:val="xl136"/>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tyle>
  <w:style w:type="paragraph" w:styleId="Xl137" w:customStyle="1">
    <w:name w:val="xl137"/>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b/>
      <w:bCs/>
    </w:rPr>
  </w:style>
  <w:style w:type="paragraph" w:styleId="Xl138" w:customStyle="1">
    <w:name w:val="xl138"/>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tyle>
  <w:style w:type="paragraph" w:styleId="Xl139" w:customStyle="1">
    <w:name w:val="xl139"/>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tyle>
  <w:style w:type="paragraph" w:styleId="Xl140" w:customStyle="1">
    <w:name w:val="xl140"/>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style>
  <w:style w:type="paragraph" w:styleId="Xl141" w:customStyle="1">
    <w:name w:val="xl141"/>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tyle>
  <w:style w:type="paragraph" w:styleId="Xl142" w:customStyle="1">
    <w:name w:val="xl142"/>
    <w:basedOn w:val="Normal"/>
    <w:qFormat/>
    <w:pPr>
      <w:pBdr>
        <w:top w:val="single" w:sz="4"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style>
  <w:style w:type="paragraph" w:styleId="Xl143" w:customStyle="1">
    <w:name w:val="xl143"/>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44" w:customStyle="1">
    <w:name w:val="xl144"/>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rPr>
  </w:style>
  <w:style w:type="paragraph" w:styleId="Xl145" w:customStyle="1">
    <w:name w:val="xl145"/>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46" w:customStyle="1">
    <w:name w:val="xl146"/>
    <w:basedOn w:val="Normal"/>
    <w:qFormat/>
    <w:pPr>
      <w:pBdr>
        <w:top w:val="single" w:sz="4" w:space="0" w:color="000000"/>
        <w:left w:val="single" w:sz="4" w:space="0" w:color="000000"/>
        <w:right w:val="single" w:sz="4" w:space="0" w:color="000000"/>
      </w:pBdr>
      <w:shd w:val="clear" w:color="auto" w:fill="FFFFFF"/>
      <w:spacing w:before="280" w:after="280"/>
      <w:textAlignment w:val="center"/>
    </w:pPr>
    <w:rPr>
      <w:color w:val="000000"/>
    </w:rPr>
  </w:style>
  <w:style w:type="paragraph" w:styleId="Xl147" w:customStyle="1">
    <w:name w:val="xl147"/>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48" w:customStyle="1">
    <w:name w:val="xl148"/>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color w:val="000000"/>
    </w:rPr>
  </w:style>
  <w:style w:type="paragraph" w:styleId="Xl149" w:customStyle="1">
    <w:name w:val="xl149"/>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50" w:customStyle="1">
    <w:name w:val="xl150"/>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51" w:customStyle="1">
    <w:name w:val="xl151"/>
    <w:basedOn w:val="Normal"/>
    <w:qFormat/>
    <w:pPr>
      <w:pBdr>
        <w:left w:val="single" w:sz="4" w:space="0" w:color="000000"/>
        <w:right w:val="single" w:sz="4" w:space="0" w:color="000000"/>
      </w:pBdr>
      <w:shd w:val="clear" w:color="auto" w:fill="FFFFFF"/>
      <w:spacing w:before="280" w:after="280"/>
      <w:textAlignment w:val="center"/>
    </w:pPr>
    <w:rPr>
      <w:color w:val="000000"/>
    </w:rPr>
  </w:style>
  <w:style w:type="paragraph" w:styleId="Xl152" w:customStyle="1">
    <w:name w:val="xl152"/>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53" w:customStyle="1">
    <w:name w:val="xl153"/>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54" w:customStyle="1">
    <w:name w:val="xl154"/>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rPr>
  </w:style>
  <w:style w:type="paragraph" w:styleId="Xl155" w:customStyle="1">
    <w:name w:val="xl155"/>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rPr>
  </w:style>
  <w:style w:type="paragraph" w:styleId="Xl156" w:customStyle="1">
    <w:name w:val="xl156"/>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styleId="Xl157" w:customStyle="1">
    <w:name w:val="xl157"/>
    <w:basedOn w:val="Normal"/>
    <w:qFormat/>
    <w:pPr>
      <w:pBdr>
        <w:top w:val="single" w:sz="4" w:space="0" w:color="000000"/>
        <w:left w:val="single" w:sz="8" w:space="0" w:color="000000"/>
        <w:bottom w:val="single" w:sz="8" w:space="0" w:color="000000"/>
        <w:right w:val="single" w:sz="4" w:space="0" w:color="000000"/>
      </w:pBdr>
      <w:shd w:val="clear" w:color="auto" w:fill="FFFFFF"/>
      <w:spacing w:before="280" w:after="280"/>
      <w:jc w:val="center"/>
      <w:textAlignment w:val="center"/>
    </w:pPr>
    <w:rPr/>
  </w:style>
  <w:style w:type="paragraph" w:styleId="Xl158" w:customStyle="1">
    <w:name w:val="xl158"/>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color w:val="000000"/>
    </w:rPr>
  </w:style>
  <w:style w:type="paragraph" w:styleId="Xl159" w:customStyle="1">
    <w:name w:val="xl159"/>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color w:val="000000"/>
    </w:rPr>
  </w:style>
  <w:style w:type="paragraph" w:styleId="Xl160" w:customStyle="1">
    <w:name w:val="xl160"/>
    <w:basedOn w:val="Normal"/>
    <w:qFormat/>
    <w:pPr>
      <w:pBdr>
        <w:left w:val="single" w:sz="4" w:space="0" w:color="000000"/>
        <w:bottom w:val="single" w:sz="8" w:space="0" w:color="000000"/>
        <w:right w:val="single" w:sz="4" w:space="0" w:color="000000"/>
      </w:pBdr>
      <w:shd w:val="clear" w:color="auto" w:fill="FFFFFF"/>
      <w:spacing w:before="280" w:after="280"/>
      <w:textAlignment w:val="center"/>
    </w:pPr>
    <w:rPr>
      <w:color w:val="000000"/>
    </w:rPr>
  </w:style>
  <w:style w:type="paragraph" w:styleId="Xl161" w:customStyle="1">
    <w:name w:val="xl161"/>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textAlignment w:val="center"/>
    </w:pPr>
    <w:rPr>
      <w:color w:val="000000"/>
    </w:rPr>
  </w:style>
  <w:style w:type="paragraph" w:styleId="Xl162" w:customStyle="1">
    <w:name w:val="xl162"/>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63" w:customStyle="1">
    <w:name w:val="xl163"/>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64" w:customStyle="1">
    <w:name w:val="xl164"/>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65" w:customStyle="1">
    <w:name w:val="xl165"/>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color w:val="000000"/>
    </w:rPr>
  </w:style>
  <w:style w:type="paragraph" w:styleId="Xl166" w:customStyle="1">
    <w:name w:val="xl166"/>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color w:val="000000"/>
    </w:rPr>
  </w:style>
  <w:style w:type="paragraph" w:styleId="Xl167" w:customStyle="1">
    <w:name w:val="xl167"/>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color w:val="000000"/>
    </w:rPr>
  </w:style>
  <w:style w:type="paragraph" w:styleId="Xl168" w:customStyle="1">
    <w:name w:val="xl168"/>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color w:val="000000"/>
    </w:rPr>
  </w:style>
  <w:style w:type="paragraph" w:styleId="Xl169" w:customStyle="1">
    <w:name w:val="xl169"/>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color w:val="000000"/>
    </w:rPr>
  </w:style>
  <w:style w:type="paragraph" w:styleId="Xl170" w:customStyle="1">
    <w:name w:val="xl170"/>
    <w:basedOn w:val="Normal"/>
    <w:qFormat/>
    <w:pPr>
      <w:pBdr>
        <w:right w:val="single" w:sz="4" w:space="0" w:color="000000"/>
      </w:pBdr>
      <w:shd w:val="clear" w:color="auto" w:fill="FFFFFF"/>
      <w:spacing w:before="280" w:after="280"/>
      <w:jc w:val="center"/>
    </w:pPr>
    <w:rPr/>
  </w:style>
  <w:style w:type="paragraph" w:styleId="Xl171" w:customStyle="1">
    <w:name w:val="xl171"/>
    <w:basedOn w:val="Normal"/>
    <w:qFormat/>
    <w:pPr>
      <w:pBdr>
        <w:top w:val="single" w:sz="4" w:space="0" w:color="000000"/>
        <w:bottom w:val="single" w:sz="4" w:space="0" w:color="000000"/>
        <w:right w:val="single" w:sz="4" w:space="0" w:color="000000"/>
      </w:pBdr>
      <w:shd w:val="clear" w:color="auto" w:fill="FFFFFF"/>
      <w:spacing w:before="280" w:after="280"/>
      <w:jc w:val="center"/>
    </w:pPr>
    <w:rPr/>
  </w:style>
  <w:style w:type="paragraph" w:styleId="Xl172" w:customStyle="1">
    <w:name w:val="xl172"/>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style>
  <w:style w:type="paragraph" w:styleId="Xl173" w:customStyle="1">
    <w:name w:val="xl173"/>
    <w:basedOn w:val="Normal"/>
    <w:qFormat/>
    <w:pPr>
      <w:pBdr>
        <w:right w:val="single" w:sz="4" w:space="0" w:color="000000"/>
      </w:pBdr>
      <w:shd w:val="clear" w:color="auto" w:fill="FFFFFF"/>
      <w:spacing w:before="280" w:after="280"/>
    </w:pPr>
    <w:rPr/>
  </w:style>
  <w:style w:type="paragraph" w:styleId="Xl174" w:customStyle="1">
    <w:name w:val="xl174"/>
    <w:basedOn w:val="Normal"/>
    <w:qFormat/>
    <w:pPr>
      <w:pBdr>
        <w:top w:val="single" w:sz="4" w:space="0" w:color="000000"/>
        <w:left w:val="single" w:sz="4" w:space="0" w:color="000000"/>
        <w:right w:val="single" w:sz="4" w:space="0" w:color="000000"/>
      </w:pBdr>
      <w:shd w:val="clear" w:color="auto" w:fill="FFFFFF"/>
      <w:spacing w:before="280" w:after="280"/>
      <w:textAlignment w:val="center"/>
    </w:pPr>
    <w:rPr/>
  </w:style>
  <w:style w:type="paragraph" w:styleId="Xl175" w:customStyle="1">
    <w:name w:val="xl175"/>
    <w:basedOn w:val="Normal"/>
    <w:qFormat/>
    <w:pPr>
      <w:pBdr>
        <w:top w:val="single" w:sz="4" w:space="0" w:color="000000"/>
        <w:left w:val="single" w:sz="4" w:space="0" w:color="000000"/>
        <w:right w:val="single" w:sz="4" w:space="0" w:color="000000"/>
      </w:pBdr>
      <w:shd w:val="clear" w:color="auto" w:fill="FFFFFF"/>
      <w:spacing w:before="280" w:after="280"/>
      <w:jc w:val="center"/>
      <w:textAlignment w:val="center"/>
    </w:pPr>
    <w:rPr/>
  </w:style>
  <w:style w:type="paragraph" w:styleId="Xl176" w:customStyle="1">
    <w:name w:val="xl176"/>
    <w:basedOn w:val="Normal"/>
    <w:qFormat/>
    <w:pPr>
      <w:pBdr>
        <w:left w:val="single" w:sz="4" w:space="0" w:color="000000"/>
        <w:right w:val="single" w:sz="4" w:space="0" w:color="000000"/>
      </w:pBdr>
      <w:shd w:val="clear" w:color="auto" w:fill="FFFFFF"/>
      <w:spacing w:before="280" w:after="280"/>
      <w:jc w:val="center"/>
      <w:textAlignment w:val="center"/>
    </w:pPr>
    <w:rPr/>
  </w:style>
  <w:style w:type="paragraph" w:styleId="Xl177" w:customStyle="1">
    <w:name w:val="xl177"/>
    <w:basedOn w:val="Normal"/>
    <w:qFormat/>
    <w:pPr>
      <w:shd w:val="clear" w:color="auto" w:fill="FFFFFF"/>
      <w:spacing w:before="280" w:after="280"/>
      <w:textAlignment w:val="center"/>
    </w:pPr>
    <w:rPr/>
  </w:style>
  <w:style w:type="paragraph" w:styleId="Xl178" w:customStyle="1">
    <w:name w:val="xl178"/>
    <w:basedOn w:val="Normal"/>
    <w:qFormat/>
    <w:pPr>
      <w:pBdr>
        <w:right w:val="single" w:sz="4" w:space="0" w:color="000000"/>
      </w:pBdr>
      <w:shd w:val="clear" w:color="auto" w:fill="FFFFFF"/>
      <w:spacing w:before="280" w:after="280"/>
      <w:textAlignment w:val="center"/>
    </w:pPr>
    <w:rPr/>
  </w:style>
  <w:style w:type="paragraph" w:styleId="Xl179" w:customStyle="1">
    <w:name w:val="xl179"/>
    <w:basedOn w:val="Normal"/>
    <w:qFormat/>
    <w:pPr>
      <w:pBdr>
        <w:left w:val="single" w:sz="4" w:space="0" w:color="000000"/>
        <w:bottom w:val="single" w:sz="4" w:space="0" w:color="000000"/>
        <w:right w:val="single" w:sz="4" w:space="0" w:color="000000"/>
      </w:pBdr>
      <w:shd w:val="clear" w:color="auto" w:fill="FFFFFF"/>
      <w:spacing w:before="280" w:after="280"/>
      <w:textAlignment w:val="center"/>
    </w:pPr>
    <w:rPr/>
  </w:style>
  <w:style w:type="paragraph" w:styleId="Xl180" w:customStyle="1">
    <w:name w:val="xl180"/>
    <w:basedOn w:val="Normal"/>
    <w:qFormat/>
    <w:pPr>
      <w:pBdr>
        <w:top w:val="single" w:sz="4" w:space="0" w:color="000000"/>
        <w:left w:val="single" w:sz="4" w:space="0" w:color="000000"/>
        <w:bottom w:val="single" w:sz="4" w:space="0" w:color="000000"/>
      </w:pBdr>
      <w:shd w:val="clear" w:color="auto" w:fill="FFFFFF"/>
      <w:spacing w:before="280" w:after="280"/>
    </w:pPr>
    <w:rPr/>
  </w:style>
  <w:style w:type="paragraph" w:styleId="Xl181" w:customStyle="1">
    <w:name w:val="xl181"/>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style>
  <w:style w:type="paragraph" w:styleId="Xl182" w:customStyle="1">
    <w:name w:val="xl182"/>
    <w:basedOn w:val="Normal"/>
    <w:qFormat/>
    <w:pPr>
      <w:pBdr>
        <w:top w:val="single" w:sz="4" w:space="0" w:color="000000"/>
        <w:bottom w:val="single" w:sz="4" w:space="0" w:color="000000"/>
        <w:right w:val="single" w:sz="4" w:space="0" w:color="000000"/>
      </w:pBdr>
      <w:shd w:val="clear" w:color="auto" w:fill="FFFFFF"/>
      <w:spacing w:before="280" w:after="280"/>
      <w:jc w:val="center"/>
    </w:pPr>
    <w:rPr>
      <w:b/>
      <w:bCs/>
    </w:rPr>
  </w:style>
  <w:style w:type="paragraph" w:styleId="Xl183" w:customStyle="1">
    <w:name w:val="xl183"/>
    <w:basedOn w:val="Normal"/>
    <w:qFormat/>
    <w:pPr>
      <w:pBdr>
        <w:left w:val="single" w:sz="8" w:space="0" w:color="000000"/>
        <w:right w:val="single" w:sz="4" w:space="0" w:color="000000"/>
      </w:pBdr>
      <w:shd w:val="clear" w:color="auto" w:fill="FFFFFF"/>
      <w:spacing w:before="280" w:after="280"/>
      <w:jc w:val="center"/>
      <w:textAlignment w:val="center"/>
    </w:pPr>
    <w:rPr/>
  </w:style>
  <w:style w:type="paragraph" w:styleId="Xl184" w:customStyle="1">
    <w:name w:val="xl184"/>
    <w:basedOn w:val="Normal"/>
    <w:qFormat/>
    <w:pPr>
      <w:pBdr>
        <w:top w:val="single" w:sz="4" w:space="0" w:color="000000"/>
        <w:left w:val="single" w:sz="8" w:space="0" w:color="000000"/>
        <w:right w:val="single" w:sz="4" w:space="0" w:color="000000"/>
      </w:pBdr>
      <w:shd w:val="clear" w:color="auto" w:fill="FFFFFF"/>
      <w:spacing w:before="280" w:after="280"/>
      <w:jc w:val="center"/>
      <w:textAlignment w:val="center"/>
    </w:pPr>
    <w:rPr/>
  </w:style>
  <w:style w:type="paragraph" w:styleId="Xl185" w:customStyle="1">
    <w:name w:val="xl185"/>
    <w:basedOn w:val="Normal"/>
    <w:qFormat/>
    <w:pPr>
      <w:pBdr>
        <w:top w:val="single" w:sz="4" w:space="0" w:color="000000"/>
        <w:left w:val="single" w:sz="4" w:space="0" w:color="000000"/>
        <w:bottom w:val="single" w:sz="4" w:space="0" w:color="000000"/>
      </w:pBdr>
      <w:shd w:val="clear" w:color="auto" w:fill="FFFFFF"/>
      <w:spacing w:before="280" w:after="280"/>
    </w:pPr>
    <w:rPr>
      <w:b/>
      <w:bCs/>
    </w:rPr>
  </w:style>
  <w:style w:type="paragraph" w:styleId="Xl186" w:customStyle="1">
    <w:name w:val="xl186"/>
    <w:basedOn w:val="Normal"/>
    <w:qFormat/>
    <w:pPr>
      <w:pBdr>
        <w:top w:val="single" w:sz="4" w:space="0" w:color="000000"/>
        <w:left w:val="single" w:sz="4" w:space="0" w:color="000000"/>
        <w:bottom w:val="single" w:sz="4" w:space="0" w:color="000000"/>
        <w:right w:val="single" w:sz="8" w:space="0" w:color="000000"/>
      </w:pBdr>
      <w:shd w:val="clear" w:color="auto" w:fill="FFFFFF"/>
      <w:spacing w:before="280" w:after="280"/>
    </w:pPr>
    <w:rPr>
      <w:b/>
      <w:bCs/>
    </w:rPr>
  </w:style>
  <w:style w:type="paragraph" w:styleId="Xl187" w:customStyle="1">
    <w:name w:val="xl187"/>
    <w:basedOn w:val="Normal"/>
    <w:qFormat/>
    <w:pPr>
      <w:pBdr>
        <w:top w:val="single" w:sz="4" w:space="0" w:color="000000"/>
        <w:left w:val="single" w:sz="4" w:space="0" w:color="000000"/>
        <w:bottom w:val="single" w:sz="8" w:space="0" w:color="000000"/>
      </w:pBdr>
      <w:shd w:val="clear" w:color="auto" w:fill="FFFFFF"/>
      <w:spacing w:before="280" w:after="280"/>
    </w:pPr>
    <w:rPr>
      <w:b/>
      <w:bCs/>
    </w:rPr>
  </w:style>
  <w:style w:type="paragraph" w:styleId="Xl188" w:customStyle="1">
    <w:name w:val="xl188"/>
    <w:basedOn w:val="Normal"/>
    <w:qFormat/>
    <w:pPr>
      <w:pBdr>
        <w:top w:val="single" w:sz="4" w:space="0" w:color="000000"/>
        <w:left w:val="single" w:sz="4" w:space="0" w:color="000000"/>
        <w:bottom w:val="single" w:sz="8" w:space="0" w:color="000000"/>
        <w:right w:val="single" w:sz="8" w:space="0" w:color="000000"/>
      </w:pBdr>
      <w:shd w:val="clear" w:color="auto" w:fill="FFFFFF"/>
      <w:spacing w:before="280" w:after="280"/>
    </w:pPr>
    <w:rPr>
      <w:b/>
      <w:bCs/>
    </w:rPr>
  </w:style>
  <w:style w:type="paragraph" w:styleId="Xl189" w:customStyle="1">
    <w:name w:val="xl189"/>
    <w:basedOn w:val="Normal"/>
    <w:qFormat/>
    <w:pPr>
      <w:pBdr>
        <w:left w:val="single" w:sz="4" w:space="0" w:color="000000"/>
        <w:bottom w:val="single" w:sz="4" w:space="0" w:color="000000"/>
        <w:right w:val="single" w:sz="4" w:space="0" w:color="000000"/>
      </w:pBdr>
      <w:spacing w:before="280" w:after="280"/>
    </w:pPr>
    <w:rPr/>
  </w:style>
  <w:style w:type="paragraph" w:styleId="Xl190" w:customStyle="1">
    <w:name w:val="xl190"/>
    <w:basedOn w:val="Normal"/>
    <w:qFormat/>
    <w:pPr>
      <w:pBdr>
        <w:left w:val="single" w:sz="4" w:space="0" w:color="000000"/>
        <w:bottom w:val="single" w:sz="4" w:space="0" w:color="000000"/>
        <w:right w:val="single" w:sz="4" w:space="0" w:color="000000"/>
      </w:pBdr>
      <w:spacing w:before="280" w:after="280"/>
    </w:pPr>
    <w:rPr>
      <w:b/>
      <w:bCs/>
    </w:rPr>
  </w:style>
  <w:style w:type="paragraph" w:styleId="Xl191" w:customStyle="1">
    <w:name w:val="xl191"/>
    <w:basedOn w:val="Normal"/>
    <w:qFormat/>
    <w:pPr>
      <w:pBdr>
        <w:left w:val="single" w:sz="4" w:space="0" w:color="000000"/>
        <w:bottom w:val="single" w:sz="4" w:space="0" w:color="000000"/>
      </w:pBdr>
      <w:spacing w:before="280" w:after="280"/>
    </w:pPr>
    <w:rPr>
      <w:b/>
      <w:bCs/>
    </w:rPr>
  </w:style>
  <w:style w:type="paragraph" w:styleId="Xl192" w:customStyle="1">
    <w:name w:val="xl192"/>
    <w:basedOn w:val="Normal"/>
    <w:qFormat/>
    <w:pPr>
      <w:pBdr>
        <w:left w:val="single" w:sz="4" w:space="0" w:color="000000"/>
        <w:bottom w:val="single" w:sz="4" w:space="0" w:color="000000"/>
        <w:right w:val="single" w:sz="8" w:space="0" w:color="000000"/>
      </w:pBdr>
      <w:spacing w:before="280" w:after="280"/>
    </w:pPr>
    <w:rPr>
      <w:b/>
      <w:bCs/>
    </w:rPr>
  </w:style>
  <w:style w:type="paragraph" w:styleId="Xl193" w:customStyle="1">
    <w:name w:val="xl193"/>
    <w:basedOn w:val="Normal"/>
    <w:qFormat/>
    <w:pPr>
      <w:pBdr>
        <w:top w:val="single" w:sz="4" w:space="0" w:color="000000"/>
        <w:left w:val="single" w:sz="4" w:space="0" w:color="000000"/>
        <w:bottom w:val="single" w:sz="4" w:space="0" w:color="000000"/>
      </w:pBdr>
      <w:spacing w:before="280" w:after="280"/>
    </w:pPr>
    <w:rPr>
      <w:b/>
      <w:bCs/>
    </w:rPr>
  </w:style>
  <w:style w:type="paragraph" w:styleId="Xl194" w:customStyle="1">
    <w:name w:val="xl194"/>
    <w:basedOn w:val="Normal"/>
    <w:qFormat/>
    <w:pPr>
      <w:pBdr>
        <w:top w:val="single" w:sz="4" w:space="0" w:color="000000"/>
        <w:left w:val="single" w:sz="4" w:space="0" w:color="000000"/>
        <w:bottom w:val="single" w:sz="4" w:space="0" w:color="000000"/>
        <w:right w:val="single" w:sz="8" w:space="0" w:color="000000"/>
      </w:pBdr>
      <w:spacing w:before="280" w:after="280"/>
    </w:pPr>
    <w:rPr>
      <w:b/>
      <w:bCs/>
    </w:rPr>
  </w:style>
  <w:style w:type="paragraph" w:styleId="Xl195" w:customStyle="1">
    <w:name w:val="xl195"/>
    <w:basedOn w:val="Normal"/>
    <w:qFormat/>
    <w:pPr>
      <w:pBdr>
        <w:top w:val="single" w:sz="4" w:space="0" w:color="000000"/>
        <w:left w:val="single" w:sz="4" w:space="0" w:color="000000"/>
        <w:bottom w:val="single" w:sz="4" w:space="0" w:color="000000"/>
      </w:pBdr>
      <w:spacing w:before="280" w:after="280"/>
    </w:pPr>
    <w:rPr/>
  </w:style>
  <w:style w:type="paragraph" w:styleId="Xl196" w:customStyle="1">
    <w:name w:val="xl196"/>
    <w:basedOn w:val="Normal"/>
    <w:qFormat/>
    <w:pPr>
      <w:pBdr>
        <w:top w:val="single" w:sz="4" w:space="0" w:color="000000"/>
        <w:left w:val="single" w:sz="4" w:space="0" w:color="000000"/>
        <w:bottom w:val="single" w:sz="4" w:space="0" w:color="000000"/>
        <w:right w:val="single" w:sz="4" w:space="0" w:color="000000"/>
      </w:pBdr>
      <w:spacing w:before="280" w:after="280"/>
      <w:jc w:val="right"/>
      <w:textAlignment w:val="center"/>
    </w:pPr>
    <w:rPr>
      <w:b/>
      <w:bCs/>
    </w:rPr>
  </w:style>
  <w:style w:type="paragraph" w:styleId="Xl197" w:customStyle="1">
    <w:name w:val="xl197"/>
    <w:basedOn w:val="Normal"/>
    <w:qFormat/>
    <w:pPr>
      <w:pBdr>
        <w:top w:val="single" w:sz="4" w:space="0" w:color="000000"/>
        <w:bottom w:val="single" w:sz="4" w:space="0" w:color="000000"/>
        <w:right w:val="single" w:sz="4" w:space="0" w:color="000000"/>
      </w:pBdr>
      <w:spacing w:before="280" w:after="280"/>
    </w:pPr>
    <w:rPr/>
  </w:style>
  <w:style w:type="paragraph" w:styleId="Xl198" w:customStyle="1">
    <w:name w:val="xl198"/>
    <w:basedOn w:val="Normal"/>
    <w:qFormat/>
    <w:pPr>
      <w:pBdr>
        <w:top w:val="single" w:sz="4" w:space="0" w:color="000000"/>
        <w:left w:val="single" w:sz="4" w:space="0" w:color="000000"/>
        <w:bottom w:val="single" w:sz="4" w:space="0" w:color="000000"/>
        <w:right w:val="single" w:sz="4" w:space="0" w:color="000000"/>
      </w:pBdr>
      <w:spacing w:before="280" w:after="280"/>
    </w:pPr>
    <w:rPr>
      <w:b/>
      <w:bCs/>
    </w:rPr>
  </w:style>
  <w:style w:type="paragraph" w:styleId="Xl199" w:customStyle="1">
    <w:name w:val="xl199"/>
    <w:basedOn w:val="Normal"/>
    <w:qFormat/>
    <w:pPr>
      <w:pBdr>
        <w:bottom w:val="single" w:sz="4" w:space="0" w:color="000000"/>
      </w:pBdr>
      <w:spacing w:before="280" w:after="280"/>
      <w:jc w:val="center"/>
    </w:pPr>
    <w:rPr>
      <w:b/>
      <w:bCs/>
    </w:rPr>
  </w:style>
  <w:style w:type="paragraph" w:styleId="Xl200" w:customStyle="1">
    <w:name w:val="xl200"/>
    <w:basedOn w:val="Normal"/>
    <w:qFormat/>
    <w:pPr>
      <w:pBdr>
        <w:bottom w:val="single" w:sz="4" w:space="0" w:color="000000"/>
        <w:right w:val="single" w:sz="4" w:space="0" w:color="000000"/>
      </w:pBdr>
      <w:spacing w:before="280" w:after="280"/>
      <w:jc w:val="center"/>
    </w:pPr>
    <w:rPr>
      <w:b/>
      <w:bCs/>
    </w:rPr>
  </w:style>
  <w:style w:type="paragraph" w:styleId="Xl201" w:customStyle="1">
    <w:name w:val="xl201"/>
    <w:basedOn w:val="Normal"/>
    <w:qFormat/>
    <w:pPr>
      <w:pBdr>
        <w:top w:val="single" w:sz="4" w:space="0" w:color="000000"/>
        <w:left w:val="single" w:sz="4" w:space="0" w:color="000000"/>
        <w:right w:val="single" w:sz="4" w:space="0" w:color="000000"/>
      </w:pBdr>
      <w:shd w:val="clear" w:color="auto" w:fill="FFFFFF"/>
      <w:spacing w:before="280" w:after="280"/>
      <w:jc w:val="center"/>
      <w:textAlignment w:val="center"/>
    </w:pPr>
    <w:rPr/>
  </w:style>
  <w:style w:type="paragraph" w:styleId="Xl202" w:customStyle="1">
    <w:name w:val="xl202"/>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203" w:customStyle="1">
    <w:name w:val="xl203"/>
    <w:basedOn w:val="Normal"/>
    <w:qFormat/>
    <w:pPr>
      <w:pBdr>
        <w:top w:val="single" w:sz="4" w:space="0" w:color="000000"/>
        <w:left w:val="single" w:sz="4" w:space="0" w:color="000000"/>
        <w:bottom w:val="single" w:sz="4" w:space="0" w:color="000000"/>
      </w:pBdr>
      <w:shd w:val="clear" w:color="auto" w:fill="FFFFFF"/>
      <w:spacing w:before="280" w:after="280"/>
      <w:jc w:val="center"/>
    </w:pPr>
    <w:rPr>
      <w:b/>
      <w:bCs/>
    </w:rPr>
  </w:style>
  <w:style w:type="paragraph" w:styleId="Xl204" w:customStyle="1">
    <w:name w:val="xl204"/>
    <w:basedOn w:val="Normal"/>
    <w:qFormat/>
    <w:pPr>
      <w:pBdr>
        <w:top w:val="single" w:sz="4" w:space="0" w:color="000000"/>
        <w:bottom w:val="single" w:sz="4" w:space="0" w:color="000000"/>
      </w:pBdr>
      <w:shd w:val="clear" w:color="auto" w:fill="FFFFFF"/>
      <w:spacing w:before="280" w:after="280"/>
      <w:jc w:val="center"/>
    </w:pPr>
    <w:rPr>
      <w:b/>
      <w:bCs/>
    </w:rPr>
  </w:style>
  <w:style w:type="paragraph" w:styleId="Xl205" w:customStyle="1">
    <w:name w:val="xl205"/>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206" w:customStyle="1">
    <w:name w:val="xl206"/>
    <w:basedOn w:val="Normal"/>
    <w:qFormat/>
    <w:pPr>
      <w:pBdr>
        <w:top w:val="single" w:sz="4" w:space="0" w:color="000000"/>
        <w:left w:val="single" w:sz="4" w:space="0" w:color="000000"/>
        <w:bottom w:val="single" w:sz="4" w:space="0" w:color="000000"/>
      </w:pBdr>
      <w:spacing w:before="280" w:after="280"/>
      <w:jc w:val="center"/>
    </w:pPr>
    <w:rPr>
      <w:b/>
      <w:bCs/>
    </w:rPr>
  </w:style>
  <w:style w:type="paragraph" w:styleId="Xl207" w:customStyle="1">
    <w:name w:val="xl207"/>
    <w:basedOn w:val="Normal"/>
    <w:qFormat/>
    <w:pPr>
      <w:pBdr>
        <w:top w:val="single" w:sz="4" w:space="0" w:color="000000"/>
        <w:bottom w:val="single" w:sz="4" w:space="0" w:color="000000"/>
      </w:pBdr>
      <w:spacing w:before="280" w:after="280"/>
      <w:jc w:val="center"/>
    </w:pPr>
    <w:rPr>
      <w:b/>
      <w:bCs/>
    </w:rPr>
  </w:style>
  <w:style w:type="paragraph" w:styleId="Xl208" w:customStyle="1">
    <w:name w:val="xl208"/>
    <w:basedOn w:val="Normal"/>
    <w:qFormat/>
    <w:pPr>
      <w:pBdr>
        <w:top w:val="single" w:sz="4" w:space="0" w:color="000000"/>
        <w:bottom w:val="single" w:sz="4" w:space="0" w:color="000000"/>
        <w:right w:val="single" w:sz="4" w:space="0" w:color="000000"/>
      </w:pBdr>
      <w:spacing w:before="280" w:after="280"/>
      <w:jc w:val="center"/>
    </w:pPr>
    <w:rPr>
      <w:b/>
      <w:bCs/>
    </w:rPr>
  </w:style>
  <w:style w:type="paragraph" w:styleId="Xl209" w:customStyle="1">
    <w:name w:val="xl209"/>
    <w:basedOn w:val="Normal"/>
    <w:qFormat/>
    <w:pPr>
      <w:pBdr>
        <w:top w:val="single" w:sz="4" w:space="0" w:color="000000"/>
        <w:left w:val="single" w:sz="4" w:space="0" w:color="000000"/>
        <w:right w:val="single" w:sz="4" w:space="0" w:color="000000"/>
      </w:pBdr>
      <w:shd w:val="clear" w:color="auto" w:fill="FFFFFF"/>
      <w:spacing w:before="280" w:after="280"/>
      <w:jc w:val="center"/>
      <w:textAlignment w:val="center"/>
    </w:pPr>
    <w:rPr/>
  </w:style>
  <w:style w:type="paragraph" w:styleId="Xl210" w:customStyle="1">
    <w:name w:val="xl210"/>
    <w:basedOn w:val="Normal"/>
    <w:qFormat/>
    <w:pPr>
      <w:pBdr>
        <w:top w:val="single" w:sz="4" w:space="0" w:color="000000"/>
        <w:left w:val="single" w:sz="4" w:space="0" w:color="000000"/>
        <w:right w:val="single" w:sz="4" w:space="0" w:color="000000"/>
      </w:pBdr>
      <w:shd w:val="clear" w:color="auto" w:fill="FFFFFF"/>
      <w:spacing w:before="280" w:after="280"/>
      <w:jc w:val="center"/>
      <w:textAlignment w:val="center"/>
    </w:pPr>
    <w:rPr/>
  </w:style>
  <w:style w:type="paragraph" w:styleId="Xl211" w:customStyle="1">
    <w:name w:val="xl211"/>
    <w:basedOn w:val="Normal"/>
    <w:qFormat/>
    <w:pPr>
      <w:pBdr>
        <w:left w:val="single" w:sz="4" w:space="0" w:color="000000"/>
        <w:right w:val="single" w:sz="4" w:space="0" w:color="000000"/>
      </w:pBdr>
      <w:shd w:val="clear" w:color="auto" w:fill="FFFFFF"/>
      <w:spacing w:before="280" w:after="280"/>
      <w:jc w:val="center"/>
      <w:textAlignment w:val="center"/>
    </w:pPr>
    <w:rPr/>
  </w:style>
  <w:style w:type="paragraph" w:styleId="Xl212" w:customStyle="1">
    <w:name w:val="xl212"/>
    <w:basedOn w:val="Normal"/>
    <w:qFormat/>
    <w:pPr>
      <w:pBdr>
        <w:left w:val="single" w:sz="4" w:space="0" w:color="000000"/>
        <w:bottom w:val="single" w:sz="8" w:space="0" w:color="000000"/>
        <w:right w:val="single" w:sz="4" w:space="0" w:color="000000"/>
      </w:pBdr>
      <w:shd w:val="clear" w:color="auto" w:fill="FFFFFF"/>
      <w:spacing w:before="280" w:after="280"/>
      <w:jc w:val="center"/>
      <w:textAlignment w:val="center"/>
    </w:pPr>
    <w:rPr/>
  </w:style>
  <w:style w:type="paragraph" w:styleId="Xl213" w:customStyle="1">
    <w:name w:val="xl213"/>
    <w:basedOn w:val="Normal"/>
    <w:qFormat/>
    <w:pPr>
      <w:pBdr>
        <w:left w:val="single" w:sz="4" w:space="0" w:color="000000"/>
        <w:right w:val="single" w:sz="4" w:space="0" w:color="000000"/>
      </w:pBdr>
      <w:shd w:val="clear" w:color="auto" w:fill="FFFFFF"/>
      <w:spacing w:before="280" w:after="280"/>
      <w:jc w:val="center"/>
      <w:textAlignment w:val="center"/>
    </w:pPr>
    <w:rPr/>
  </w:style>
  <w:style w:type="paragraph" w:styleId="Xl214" w:customStyle="1">
    <w:name w:val="xl214"/>
    <w:basedOn w:val="Normal"/>
    <w:qFormat/>
    <w:pPr>
      <w:pBdr>
        <w:left w:val="single" w:sz="4" w:space="0" w:color="000000"/>
        <w:bottom w:val="single" w:sz="8" w:space="0" w:color="000000"/>
        <w:right w:val="single" w:sz="4" w:space="0" w:color="000000"/>
      </w:pBdr>
      <w:shd w:val="clear" w:color="auto" w:fill="FFFFFF"/>
      <w:spacing w:before="280" w:after="280"/>
      <w:jc w:val="center"/>
      <w:textAlignment w:val="center"/>
    </w:pPr>
    <w:rPr/>
  </w:style>
  <w:style w:type="paragraph" w:styleId="Xl215" w:customStyle="1">
    <w:name w:val="xl215"/>
    <w:basedOn w:val="Normal"/>
    <w:qFormat/>
    <w:pPr>
      <w:pBdr>
        <w:left w:val="single" w:sz="8" w:space="0" w:color="000000"/>
        <w:bottom w:val="single" w:sz="8" w:space="0" w:color="000000"/>
        <w:right w:val="single" w:sz="4" w:space="0" w:color="000000"/>
      </w:pBdr>
      <w:shd w:val="clear" w:color="auto" w:fill="FFFFFF"/>
      <w:spacing w:before="280" w:after="280"/>
      <w:jc w:val="center"/>
      <w:textAlignment w:val="center"/>
    </w:pPr>
    <w:rPr/>
  </w:style>
  <w:style w:type="paragraph" w:styleId="Xl216" w:customStyle="1">
    <w:name w:val="xl216"/>
    <w:basedOn w:val="Normal"/>
    <w:qFormat/>
    <w:pPr>
      <w:pBdr>
        <w:top w:val="single" w:sz="4" w:space="0" w:color="000000"/>
        <w:left w:val="single" w:sz="4" w:space="0" w:color="000000"/>
        <w:bottom w:val="single" w:sz="8" w:space="0" w:color="000000"/>
      </w:pBdr>
      <w:shd w:val="clear" w:color="auto" w:fill="FFFFFF"/>
      <w:spacing w:before="280" w:after="280"/>
      <w:jc w:val="center"/>
    </w:pPr>
    <w:rPr>
      <w:b/>
      <w:bCs/>
    </w:rPr>
  </w:style>
  <w:style w:type="paragraph" w:styleId="Xl217" w:customStyle="1">
    <w:name w:val="xl217"/>
    <w:basedOn w:val="Normal"/>
    <w:qFormat/>
    <w:pPr>
      <w:pBdr>
        <w:top w:val="single" w:sz="4" w:space="0" w:color="000000"/>
        <w:bottom w:val="single" w:sz="8" w:space="0" w:color="000000"/>
      </w:pBdr>
      <w:shd w:val="clear" w:color="auto" w:fill="FFFFFF"/>
      <w:spacing w:before="280" w:after="280"/>
      <w:jc w:val="center"/>
    </w:pPr>
    <w:rPr>
      <w:b/>
      <w:bCs/>
    </w:rPr>
  </w:style>
  <w:style w:type="paragraph" w:styleId="Xl218" w:customStyle="1">
    <w:name w:val="xl218"/>
    <w:basedOn w:val="Normal"/>
    <w:qFormat/>
    <w:pPr>
      <w:pBdr>
        <w:top w:val="single" w:sz="4" w:space="0" w:color="000000"/>
        <w:bottom w:val="single" w:sz="8" w:space="0" w:color="000000"/>
        <w:right w:val="single" w:sz="4" w:space="0" w:color="000000"/>
      </w:pBdr>
      <w:shd w:val="clear" w:color="auto" w:fill="FFFFFF"/>
      <w:spacing w:before="280" w:after="280"/>
      <w:jc w:val="center"/>
    </w:pPr>
    <w:rPr>
      <w:b/>
      <w:bCs/>
    </w:rPr>
  </w:style>
  <w:style w:type="paragraph" w:styleId="Xl219" w:customStyle="1">
    <w:name w:val="xl219"/>
    <w:basedOn w:val="Normal"/>
    <w:qFormat/>
    <w:pPr>
      <w:pBdr>
        <w:left w:val="single" w:sz="4" w:space="0" w:color="000000"/>
        <w:bottom w:val="single" w:sz="4" w:space="0" w:color="000000"/>
        <w:right w:val="single" w:sz="4" w:space="0" w:color="000000"/>
      </w:pBdr>
      <w:shd w:val="clear" w:color="auto" w:fill="FFFFFF"/>
      <w:spacing w:before="280" w:after="280"/>
      <w:jc w:val="center"/>
      <w:textAlignment w:val="center"/>
    </w:pPr>
    <w:rPr/>
  </w:style>
  <w:style w:type="paragraph" w:styleId="Xl220" w:customStyle="1">
    <w:name w:val="xl220"/>
    <w:basedOn w:val="Normal"/>
    <w:qFormat/>
    <w:pPr>
      <w:pBdr>
        <w:top w:val="single" w:sz="4" w:space="0" w:color="000000"/>
        <w:bottom w:val="single" w:sz="4" w:space="0" w:color="000000"/>
        <w:right w:val="single" w:sz="8" w:space="0" w:color="000000"/>
      </w:pBdr>
      <w:shd w:val="clear" w:color="auto" w:fill="FFFFFF"/>
      <w:spacing w:before="280" w:after="280"/>
      <w:jc w:val="center"/>
    </w:pPr>
    <w:rPr>
      <w:b/>
      <w:bCs/>
    </w:rPr>
  </w:style>
  <w:style w:type="paragraph" w:styleId="Xl221" w:customStyle="1">
    <w:name w:val="xl221"/>
    <w:basedOn w:val="Normal"/>
    <w:qFormat/>
    <w:pPr>
      <w:pBdr>
        <w:left w:val="single" w:sz="8" w:space="0" w:color="000000"/>
        <w:right w:val="single" w:sz="4" w:space="0" w:color="000000"/>
      </w:pBdr>
      <w:spacing w:before="280" w:after="280"/>
    </w:pPr>
    <w:rPr/>
  </w:style>
  <w:style w:type="paragraph" w:styleId="Xl222" w:customStyle="1">
    <w:name w:val="xl222"/>
    <w:basedOn w:val="Normal"/>
    <w:qFormat/>
    <w:pPr>
      <w:pBdr>
        <w:top w:val="single" w:sz="4" w:space="0" w:color="000000"/>
        <w:left w:val="single" w:sz="4" w:space="0" w:color="000000"/>
      </w:pBdr>
      <w:shd w:val="clear" w:color="auto" w:fill="FFFFFF"/>
      <w:spacing w:before="280" w:after="280"/>
      <w:jc w:val="center"/>
      <w:textAlignment w:val="center"/>
    </w:pPr>
    <w:rPr/>
  </w:style>
  <w:style w:type="paragraph" w:styleId="Xl223" w:customStyle="1">
    <w:name w:val="xl223"/>
    <w:basedOn w:val="Normal"/>
    <w:qFormat/>
    <w:pPr>
      <w:pBdr>
        <w:left w:val="single" w:sz="4" w:space="0" w:color="000000"/>
      </w:pBdr>
      <w:spacing w:before="280" w:after="280"/>
    </w:pPr>
    <w:rPr/>
  </w:style>
  <w:style w:type="paragraph" w:styleId="Xl224" w:customStyle="1">
    <w:name w:val="xl224"/>
    <w:basedOn w:val="Normal"/>
    <w:qFormat/>
    <w:pPr>
      <w:pBdr>
        <w:right w:val="single" w:sz="4" w:space="0" w:color="000000"/>
      </w:pBdr>
      <w:shd w:val="clear" w:color="auto" w:fill="FFFFFF"/>
      <w:spacing w:before="280" w:after="280"/>
      <w:jc w:val="center"/>
      <w:textAlignment w:val="center"/>
    </w:pPr>
    <w:rPr/>
  </w:style>
  <w:style w:type="paragraph" w:styleId="Xl225" w:customStyle="1">
    <w:name w:val="xl225"/>
    <w:basedOn w:val="Normal"/>
    <w:qFormat/>
    <w:pPr>
      <w:pBdr>
        <w:top w:val="single" w:sz="4" w:space="0" w:color="000000"/>
        <w:right w:val="single" w:sz="4" w:space="0" w:color="000000"/>
      </w:pBdr>
      <w:shd w:val="clear" w:color="auto" w:fill="FFFFFF"/>
      <w:spacing w:before="280" w:after="280"/>
      <w:jc w:val="center"/>
      <w:textAlignment w:val="center"/>
    </w:pPr>
    <w:rPr/>
  </w:style>
  <w:style w:type="paragraph" w:styleId="Xl226" w:customStyle="1">
    <w:name w:val="xl226"/>
    <w:basedOn w:val="Normal"/>
    <w:qFormat/>
    <w:pPr>
      <w:pBdr>
        <w:right w:val="single" w:sz="4" w:space="0" w:color="000000"/>
      </w:pBdr>
      <w:spacing w:before="280" w:after="280"/>
    </w:pPr>
    <w:rPr/>
  </w:style>
  <w:style w:type="paragraph" w:styleId="Xl227" w:customStyle="1">
    <w:name w:val="xl227"/>
    <w:basedOn w:val="Normal"/>
    <w:qFormat/>
    <w:pPr>
      <w:pBdr>
        <w:left w:val="single" w:sz="4" w:space="0" w:color="000000"/>
        <w:right w:val="single" w:sz="4" w:space="0" w:color="000000"/>
      </w:pBdr>
      <w:spacing w:before="280" w:after="280"/>
    </w:pPr>
    <w:rPr/>
  </w:style>
  <w:style w:type="paragraph" w:styleId="Xl228" w:customStyle="1">
    <w:name w:val="xl228"/>
    <w:basedOn w:val="Normal"/>
    <w:qFormat/>
    <w:pPr>
      <w:pBdr>
        <w:left w:val="single" w:sz="4" w:space="0" w:color="000000"/>
        <w:bottom w:val="single" w:sz="4" w:space="0" w:color="000000"/>
      </w:pBdr>
      <w:shd w:val="clear" w:color="auto" w:fill="FFFFFF"/>
      <w:spacing w:before="280" w:after="280"/>
      <w:jc w:val="center"/>
      <w:textAlignment w:val="center"/>
    </w:pPr>
    <w:rPr>
      <w:b/>
      <w:bCs/>
    </w:rPr>
  </w:style>
  <w:style w:type="paragraph" w:styleId="Xl229" w:customStyle="1">
    <w:name w:val="xl229"/>
    <w:basedOn w:val="Normal"/>
    <w:qFormat/>
    <w:pPr>
      <w:pBdr>
        <w:bottom w:val="single" w:sz="4" w:space="0" w:color="000000"/>
      </w:pBdr>
      <w:shd w:val="clear" w:color="auto" w:fill="FFFFFF"/>
      <w:spacing w:before="280" w:after="280"/>
      <w:jc w:val="center"/>
      <w:textAlignment w:val="center"/>
    </w:pPr>
    <w:rPr>
      <w:b/>
      <w:bCs/>
    </w:rPr>
  </w:style>
  <w:style w:type="paragraph" w:styleId="Xl230" w:customStyle="1">
    <w:name w:val="xl230"/>
    <w:basedOn w:val="Normal"/>
    <w:qFormat/>
    <w:pPr>
      <w:pBdr>
        <w:bottom w:val="single" w:sz="4" w:space="0" w:color="000000"/>
        <w:right w:val="single" w:sz="4" w:space="0" w:color="000000"/>
      </w:pBdr>
      <w:shd w:val="clear" w:color="auto" w:fill="FFFFFF"/>
      <w:spacing w:before="280" w:after="280"/>
      <w:jc w:val="center"/>
      <w:textAlignment w:val="center"/>
    </w:pPr>
    <w:rPr>
      <w:b/>
      <w:bCs/>
    </w:rPr>
  </w:style>
  <w:style w:type="paragraph" w:styleId="Xl231" w:customStyle="1">
    <w:name w:val="xl231"/>
    <w:basedOn w:val="Normal"/>
    <w:qFormat/>
    <w:pPr>
      <w:pBdr>
        <w:top w:val="single" w:sz="4" w:space="0" w:color="000000"/>
        <w:left w:val="single" w:sz="4" w:space="0" w:color="000000"/>
        <w:right w:val="single" w:sz="4" w:space="0" w:color="000000"/>
      </w:pBdr>
      <w:spacing w:before="280" w:after="280"/>
      <w:jc w:val="center"/>
      <w:textAlignment w:val="center"/>
    </w:pPr>
    <w:rPr/>
  </w:style>
  <w:style w:type="paragraph" w:styleId="Xl232" w:customStyle="1">
    <w:name w:val="xl232"/>
    <w:basedOn w:val="Normal"/>
    <w:qFormat/>
    <w:pPr>
      <w:pBdr>
        <w:left w:val="single" w:sz="4" w:space="0" w:color="000000"/>
        <w:right w:val="single" w:sz="4" w:space="0" w:color="000000"/>
      </w:pBdr>
      <w:spacing w:before="280" w:after="280"/>
      <w:jc w:val="center"/>
      <w:textAlignment w:val="center"/>
    </w:pPr>
    <w:rPr/>
  </w:style>
  <w:style w:type="paragraph" w:styleId="Xl233" w:customStyle="1">
    <w:name w:val="xl233"/>
    <w:basedOn w:val="Normal"/>
    <w:qFormat/>
    <w:pPr>
      <w:pBdr>
        <w:left w:val="single" w:sz="4" w:space="0" w:color="000000"/>
        <w:bottom w:val="single" w:sz="4" w:space="0" w:color="000000"/>
        <w:right w:val="single" w:sz="4" w:space="0" w:color="000000"/>
      </w:pBdr>
      <w:spacing w:before="280" w:after="280"/>
      <w:jc w:val="center"/>
      <w:textAlignment w:val="center"/>
    </w:pPr>
    <w:rPr/>
  </w:style>
  <w:style w:type="paragraph" w:styleId="Xl234" w:customStyle="1">
    <w:name w:val="xl234"/>
    <w:basedOn w:val="Normal"/>
    <w:qFormat/>
    <w:pPr>
      <w:pBdr>
        <w:top w:val="single" w:sz="4" w:space="0" w:color="000000"/>
        <w:left w:val="single" w:sz="4" w:space="0" w:color="000000"/>
        <w:bottom w:val="single" w:sz="4" w:space="0" w:color="000000"/>
      </w:pBdr>
      <w:shd w:val="clear" w:color="auto" w:fill="FFFFFF"/>
      <w:spacing w:before="280" w:after="280"/>
      <w:jc w:val="center"/>
      <w:textAlignment w:val="center"/>
    </w:pPr>
    <w:rPr>
      <w:b/>
      <w:bCs/>
    </w:rPr>
  </w:style>
  <w:style w:type="paragraph" w:styleId="Xl235" w:customStyle="1">
    <w:name w:val="xl235"/>
    <w:basedOn w:val="Normal"/>
    <w:qFormat/>
    <w:pPr>
      <w:pBdr>
        <w:top w:val="single" w:sz="4" w:space="0" w:color="000000"/>
        <w:bottom w:val="single" w:sz="4" w:space="0" w:color="000000"/>
      </w:pBdr>
      <w:shd w:val="clear" w:color="auto" w:fill="FFFFFF"/>
      <w:spacing w:before="280" w:after="280"/>
      <w:jc w:val="center"/>
      <w:textAlignment w:val="center"/>
    </w:pPr>
    <w:rPr>
      <w:b/>
      <w:bCs/>
    </w:rPr>
  </w:style>
  <w:style w:type="paragraph" w:styleId="Xl236" w:customStyle="1">
    <w:name w:val="xl236"/>
    <w:basedOn w:val="Normal"/>
    <w:qFormat/>
    <w:pPr>
      <w:pBdr>
        <w:top w:val="single" w:sz="4" w:space="0" w:color="000000"/>
        <w:bottom w:val="single" w:sz="4" w:space="0" w:color="000000"/>
        <w:right w:val="single" w:sz="4" w:space="0" w:color="000000"/>
      </w:pBdr>
      <w:shd w:val="clear" w:color="auto" w:fill="FFFFFF"/>
      <w:spacing w:before="280" w:after="280"/>
      <w:jc w:val="center"/>
      <w:textAlignment w:val="center"/>
    </w:pPr>
    <w:rPr>
      <w:b/>
      <w:bCs/>
    </w:rPr>
  </w:style>
  <w:style w:type="paragraph" w:styleId="Xl237" w:customStyle="1">
    <w:name w:val="xl237"/>
    <w:basedOn w:val="Normal"/>
    <w:qFormat/>
    <w:pPr>
      <w:pBdr>
        <w:left w:val="single" w:sz="4" w:space="0" w:color="000000"/>
        <w:bottom w:val="single" w:sz="4" w:space="0" w:color="000000"/>
      </w:pBdr>
      <w:shd w:val="clear" w:color="auto" w:fill="FFFFFF"/>
      <w:spacing w:before="280" w:after="280"/>
      <w:jc w:val="center"/>
    </w:pPr>
    <w:rPr>
      <w:b/>
      <w:bCs/>
    </w:rPr>
  </w:style>
  <w:style w:type="paragraph" w:styleId="Xl238" w:customStyle="1">
    <w:name w:val="xl238"/>
    <w:basedOn w:val="Normal"/>
    <w:qFormat/>
    <w:pPr>
      <w:pBdr>
        <w:bottom w:val="single" w:sz="4" w:space="0" w:color="000000"/>
      </w:pBdr>
      <w:shd w:val="clear" w:color="auto" w:fill="FFFFFF"/>
      <w:spacing w:before="280" w:after="280"/>
      <w:jc w:val="center"/>
    </w:pPr>
    <w:rPr>
      <w:b/>
      <w:bCs/>
    </w:rPr>
  </w:style>
  <w:style w:type="paragraph" w:styleId="Xl239" w:customStyle="1">
    <w:name w:val="xl239"/>
    <w:basedOn w:val="Normal"/>
    <w:qFormat/>
    <w:pPr>
      <w:pBdr>
        <w:bottom w:val="single" w:sz="4" w:space="0" w:color="000000"/>
        <w:right w:val="single" w:sz="4" w:space="0" w:color="000000"/>
      </w:pBdr>
      <w:shd w:val="clear" w:color="auto" w:fill="FFFFFF"/>
      <w:spacing w:before="280" w:after="280"/>
      <w:jc w:val="center"/>
    </w:pPr>
    <w:rPr>
      <w:b/>
      <w:bCs/>
    </w:rPr>
  </w:style>
  <w:style w:type="paragraph" w:styleId="Xl240" w:customStyle="1">
    <w:name w:val="xl240"/>
    <w:basedOn w:val="Normal"/>
    <w:qFormat/>
    <w:pPr>
      <w:pBdr>
        <w:top w:val="single" w:sz="4" w:space="0" w:color="000000"/>
        <w:left w:val="single" w:sz="4" w:space="0" w:color="000000"/>
        <w:bottom w:val="single" w:sz="8" w:space="0" w:color="000000"/>
        <w:right w:val="single" w:sz="4" w:space="0" w:color="000000"/>
      </w:pBdr>
      <w:shd w:val="clear" w:color="auto" w:fill="FFFFFF"/>
      <w:spacing w:before="280" w:after="280"/>
      <w:jc w:val="center"/>
      <w:textAlignment w:val="center"/>
    </w:pPr>
    <w:rPr>
      <w:b/>
      <w:bCs/>
    </w:rPr>
  </w:style>
  <w:style w:type="paragraph" w:styleId="Xl241" w:customStyle="1">
    <w:name w:val="xl241"/>
    <w:basedOn w:val="Normal"/>
    <w:qFormat/>
    <w:pPr>
      <w:pBdr>
        <w:top w:val="single" w:sz="4" w:space="0" w:color="000000"/>
        <w:left w:val="single" w:sz="8" w:space="0" w:color="000000"/>
        <w:bottom w:val="single" w:sz="4" w:space="0" w:color="000000"/>
        <w:right w:val="single" w:sz="4" w:space="0" w:color="000000"/>
      </w:pBdr>
      <w:shd w:val="clear" w:color="auto" w:fill="FFFFFF"/>
      <w:spacing w:before="280" w:after="280"/>
      <w:jc w:val="center"/>
      <w:textAlignment w:val="center"/>
    </w:pPr>
    <w:rPr/>
  </w:style>
  <w:style w:type="paragraph" w:styleId="Xl242" w:customStyle="1">
    <w:name w:val="xl242"/>
    <w:basedOn w:val="Normal"/>
    <w:qFormat/>
    <w:pPr>
      <w:pBdr>
        <w:top w:val="single" w:sz="4" w:space="0" w:color="000000"/>
        <w:left w:val="single" w:sz="4" w:space="0" w:color="000000"/>
        <w:bottom w:val="single" w:sz="4" w:space="0" w:color="000000"/>
      </w:pBdr>
      <w:spacing w:before="280" w:after="280"/>
      <w:jc w:val="center"/>
      <w:textAlignment w:val="center"/>
    </w:pPr>
    <w:rPr>
      <w:b/>
      <w:bCs/>
    </w:rPr>
  </w:style>
  <w:style w:type="paragraph" w:styleId="Xl243" w:customStyle="1">
    <w:name w:val="xl243"/>
    <w:basedOn w:val="Normal"/>
    <w:qFormat/>
    <w:pPr>
      <w:pBdr>
        <w:top w:val="single" w:sz="4" w:space="0" w:color="000000"/>
        <w:bottom w:val="single" w:sz="4" w:space="0" w:color="000000"/>
      </w:pBdr>
      <w:spacing w:before="280" w:after="280"/>
      <w:jc w:val="center"/>
      <w:textAlignment w:val="center"/>
    </w:pPr>
    <w:rPr>
      <w:b/>
      <w:bCs/>
    </w:rPr>
  </w:style>
  <w:style w:type="paragraph" w:styleId="Xl244" w:customStyle="1">
    <w:name w:val="xl244"/>
    <w:basedOn w:val="Normal"/>
    <w:qFormat/>
    <w:pPr>
      <w:pBdr>
        <w:top w:val="single" w:sz="4" w:space="0" w:color="000000"/>
        <w:bottom w:val="single" w:sz="4" w:space="0" w:color="000000"/>
        <w:right w:val="single" w:sz="8" w:space="0" w:color="000000"/>
      </w:pBdr>
      <w:spacing w:before="280" w:after="280"/>
      <w:jc w:val="center"/>
      <w:textAlignment w:val="center"/>
    </w:pPr>
    <w:rPr>
      <w:b/>
      <w:bCs/>
    </w:rPr>
  </w:style>
  <w:style w:type="paragraph" w:styleId="Xl245" w:customStyle="1">
    <w:name w:val="xl245"/>
    <w:basedOn w:val="Normal"/>
    <w:qFormat/>
    <w:pPr>
      <w:pBdr>
        <w:top w:val="single" w:sz="4" w:space="0" w:color="000000"/>
        <w:left w:val="single" w:sz="4" w:space="0" w:color="000000"/>
        <w:bottom w:val="single" w:sz="4" w:space="0" w:color="000000"/>
      </w:pBdr>
      <w:spacing w:before="280" w:after="280"/>
      <w:jc w:val="center"/>
      <w:textAlignment w:val="center"/>
    </w:pPr>
    <w:rPr/>
  </w:style>
  <w:style w:type="paragraph" w:styleId="Xl246" w:customStyle="1">
    <w:name w:val="xl246"/>
    <w:basedOn w:val="Normal"/>
    <w:qFormat/>
    <w:pPr>
      <w:pBdr>
        <w:top w:val="single" w:sz="4" w:space="0" w:color="000000"/>
        <w:bottom w:val="single" w:sz="4" w:space="0" w:color="000000"/>
      </w:pBdr>
      <w:spacing w:before="280" w:after="280"/>
      <w:jc w:val="center"/>
      <w:textAlignment w:val="center"/>
    </w:pPr>
    <w:rPr/>
  </w:style>
  <w:style w:type="paragraph" w:styleId="Xl247" w:customStyle="1">
    <w:name w:val="xl247"/>
    <w:basedOn w:val="Normal"/>
    <w:qFormat/>
    <w:pPr>
      <w:pBdr>
        <w:top w:val="single" w:sz="4" w:space="0" w:color="000000"/>
        <w:bottom w:val="single" w:sz="4" w:space="0" w:color="000000"/>
        <w:right w:val="single" w:sz="8" w:space="0" w:color="000000"/>
      </w:pBdr>
      <w:spacing w:before="280" w:after="280"/>
      <w:jc w:val="center"/>
      <w:textAlignment w:val="center"/>
    </w:pPr>
    <w:rPr/>
  </w:style>
  <w:style w:type="paragraph" w:styleId="Xl248" w:customStyle="1">
    <w:name w:val="xl248"/>
    <w:basedOn w:val="Normal"/>
    <w:qFormat/>
    <w:pPr>
      <w:pBdr>
        <w:top w:val="single" w:sz="4" w:space="0" w:color="000000"/>
        <w:bottom w:val="single" w:sz="4" w:space="0" w:color="000000"/>
        <w:right w:val="single" w:sz="4" w:space="0" w:color="000000"/>
      </w:pBdr>
      <w:spacing w:before="280" w:after="280"/>
      <w:jc w:val="center"/>
      <w:textAlignment w:val="center"/>
    </w:pPr>
    <w:rPr>
      <w:b/>
      <w:bCs/>
    </w:rPr>
  </w:style>
  <w:style w:type="paragraph" w:styleId="Xl249" w:customStyle="1">
    <w:name w:val="xl249"/>
    <w:basedOn w:val="Normal"/>
    <w:qFormat/>
    <w:pPr>
      <w:pBdr>
        <w:top w:val="single" w:sz="4" w:space="0" w:color="000000"/>
        <w:left w:val="single" w:sz="8" w:space="0" w:color="000000"/>
        <w:right w:val="single" w:sz="4" w:space="0" w:color="000000"/>
      </w:pBdr>
      <w:spacing w:before="280" w:after="280"/>
      <w:jc w:val="center"/>
      <w:textAlignment w:val="center"/>
    </w:pPr>
    <w:rPr/>
  </w:style>
  <w:style w:type="paragraph" w:styleId="Xl250" w:customStyle="1">
    <w:name w:val="xl250"/>
    <w:basedOn w:val="Normal"/>
    <w:qFormat/>
    <w:pPr>
      <w:pBdr>
        <w:left w:val="single" w:sz="8" w:space="0" w:color="000000"/>
        <w:right w:val="single" w:sz="4" w:space="0" w:color="000000"/>
      </w:pBdr>
      <w:spacing w:before="280" w:after="280"/>
      <w:jc w:val="center"/>
      <w:textAlignment w:val="center"/>
    </w:pPr>
    <w:rPr/>
  </w:style>
  <w:style w:type="paragraph" w:styleId="Xl251" w:customStyle="1">
    <w:name w:val="xl251"/>
    <w:basedOn w:val="Normal"/>
    <w:qFormat/>
    <w:pPr>
      <w:pBdr>
        <w:left w:val="single" w:sz="8" w:space="0" w:color="000000"/>
        <w:bottom w:val="single" w:sz="4" w:space="0" w:color="000000"/>
        <w:right w:val="single" w:sz="4" w:space="0" w:color="000000"/>
      </w:pBdr>
      <w:spacing w:before="280" w:after="280"/>
      <w:jc w:val="center"/>
      <w:textAlignment w:val="center"/>
    </w:pPr>
    <w:rPr/>
  </w:style>
  <w:style w:type="paragraph" w:styleId="Xl252" w:customStyle="1">
    <w:name w:val="xl252"/>
    <w:basedOn w:val="Normal"/>
    <w:qFormat/>
    <w:pPr>
      <w:pBdr>
        <w:top w:val="single" w:sz="4" w:space="0" w:color="000000"/>
        <w:left w:val="single" w:sz="4" w:space="0" w:color="000000"/>
        <w:right w:val="single" w:sz="4" w:space="0" w:color="000000"/>
      </w:pBdr>
      <w:spacing w:before="280" w:after="280"/>
      <w:jc w:val="center"/>
      <w:textAlignment w:val="center"/>
    </w:pPr>
    <w:rPr/>
  </w:style>
  <w:style w:type="paragraph" w:styleId="Xl253" w:customStyle="1">
    <w:name w:val="xl253"/>
    <w:basedOn w:val="Normal"/>
    <w:qFormat/>
    <w:pPr>
      <w:pBdr>
        <w:left w:val="single" w:sz="4" w:space="0" w:color="000000"/>
        <w:right w:val="single" w:sz="4" w:space="0" w:color="000000"/>
      </w:pBdr>
      <w:spacing w:before="280" w:after="280"/>
      <w:jc w:val="center"/>
      <w:textAlignment w:val="center"/>
    </w:pPr>
    <w:rPr/>
  </w:style>
  <w:style w:type="paragraph" w:styleId="Xl254" w:customStyle="1">
    <w:name w:val="xl254"/>
    <w:basedOn w:val="Normal"/>
    <w:qFormat/>
    <w:pPr>
      <w:pBdr>
        <w:left w:val="single" w:sz="4" w:space="0" w:color="000000"/>
        <w:bottom w:val="single" w:sz="4" w:space="0" w:color="000000"/>
        <w:right w:val="single" w:sz="4" w:space="0" w:color="000000"/>
      </w:pBdr>
      <w:spacing w:before="280" w:after="280"/>
      <w:jc w:val="center"/>
      <w:textAlignment w:val="center"/>
    </w:pPr>
    <w:rPr/>
  </w:style>
  <w:style w:type="paragraph" w:styleId="Xl255" w:customStyle="1">
    <w:name w:val="xl255"/>
    <w:basedOn w:val="Normal"/>
    <w:qFormat/>
    <w:pPr>
      <w:pBdr>
        <w:top w:val="single" w:sz="8" w:space="0" w:color="000000"/>
        <w:left w:val="single" w:sz="8" w:space="0" w:color="000000"/>
        <w:bottom w:val="single" w:sz="4" w:space="0" w:color="000000"/>
        <w:right w:val="single" w:sz="4" w:space="0" w:color="000000"/>
      </w:pBdr>
      <w:spacing w:before="280" w:after="280"/>
      <w:jc w:val="center"/>
      <w:textAlignment w:val="center"/>
    </w:pPr>
    <w:rPr/>
  </w:style>
  <w:style w:type="paragraph" w:styleId="Xl256" w:customStyle="1">
    <w:name w:val="xl256"/>
    <w:basedOn w:val="Normal"/>
    <w:qFormat/>
    <w:pPr>
      <w:pBdr>
        <w:top w:val="single" w:sz="8" w:space="0" w:color="000000"/>
        <w:left w:val="single" w:sz="4" w:space="0" w:color="000000"/>
        <w:bottom w:val="single" w:sz="4" w:space="0" w:color="000000"/>
        <w:right w:val="single" w:sz="4" w:space="0" w:color="000000"/>
      </w:pBdr>
      <w:spacing w:before="280" w:after="280"/>
      <w:jc w:val="center"/>
      <w:textAlignment w:val="center"/>
    </w:pPr>
    <w:rPr/>
  </w:style>
  <w:style w:type="paragraph" w:styleId="Xl257" w:customStyle="1">
    <w:name w:val="xl257"/>
    <w:basedOn w:val="Normal"/>
    <w:qFormat/>
    <w:pPr>
      <w:pBdr>
        <w:top w:val="single" w:sz="8" w:space="0" w:color="000000"/>
        <w:left w:val="single" w:sz="4" w:space="0" w:color="000000"/>
        <w:bottom w:val="single" w:sz="4" w:space="0" w:color="000000"/>
        <w:right w:val="single" w:sz="8" w:space="0" w:color="000000"/>
      </w:pBdr>
      <w:spacing w:before="280" w:after="280"/>
      <w:jc w:val="center"/>
      <w:textAlignment w:val="center"/>
    </w:pPr>
    <w:rPr/>
  </w:style>
  <w:style w:type="paragraph" w:styleId="Xl258" w:customStyle="1">
    <w:name w:val="xl258"/>
    <w:basedOn w:val="Normal"/>
    <w:qFormat/>
    <w:pPr>
      <w:pBdr>
        <w:top w:val="single" w:sz="4" w:space="0" w:color="000000"/>
        <w:left w:val="single" w:sz="4" w:space="0" w:color="000000"/>
        <w:bottom w:val="single" w:sz="4" w:space="0" w:color="000000"/>
        <w:right w:val="single" w:sz="8" w:space="0" w:color="000000"/>
      </w:pBdr>
      <w:spacing w:before="280" w:after="280"/>
      <w:jc w:val="center"/>
      <w:textAlignment w:val="center"/>
    </w:pPr>
    <w:rPr/>
  </w:style>
  <w:style w:type="paragraph" w:styleId="Xl259" w:customStyle="1">
    <w:name w:val="xl259"/>
    <w:basedOn w:val="Normal"/>
    <w:qFormat/>
    <w:pPr>
      <w:pBdr>
        <w:bottom w:val="single" w:sz="8" w:space="0" w:color="000000"/>
      </w:pBdr>
      <w:spacing w:before="280" w:after="280"/>
      <w:jc w:val="center"/>
    </w:pPr>
    <w:rPr>
      <w:b/>
      <w:bCs/>
    </w:rPr>
  </w:style>
  <w:style w:type="paragraph" w:styleId="Xl260" w:customStyle="1">
    <w:name w:val="xl260"/>
    <w:basedOn w:val="Normal"/>
    <w:qFormat/>
    <w:pPr>
      <w:pBdr>
        <w:bottom w:val="single" w:sz="8" w:space="0" w:color="000000"/>
      </w:pBdr>
      <w:spacing w:before="280" w:after="280"/>
      <w:jc w:val="center"/>
    </w:pPr>
    <w:rPr/>
  </w:style>
  <w:style w:type="paragraph" w:styleId="Xl261" w:customStyle="1">
    <w:name w:val="xl261"/>
    <w:basedOn w:val="Normal"/>
    <w:qFormat/>
    <w:pPr>
      <w:pBdr>
        <w:top w:val="single" w:sz="8" w:space="0" w:color="000000"/>
        <w:left w:val="single" w:sz="4" w:space="0" w:color="000000"/>
        <w:bottom w:val="single" w:sz="4" w:space="0" w:color="000000"/>
        <w:right w:val="single" w:sz="4" w:space="0" w:color="000000"/>
      </w:pBdr>
      <w:spacing w:before="280" w:after="280"/>
      <w:jc w:val="center"/>
      <w:textAlignment w:val="center"/>
    </w:pPr>
    <w:rPr/>
  </w:style>
  <w:style w:type="paragraph" w:styleId="Xl262" w:customStyle="1">
    <w:name w:val="xl262"/>
    <w:basedOn w:val="Normal"/>
    <w:qFormat/>
    <w:pPr>
      <w:pBdr>
        <w:top w:val="single" w:sz="4" w:space="0" w:color="000000"/>
        <w:bottom w:val="single" w:sz="4" w:space="0" w:color="000000"/>
      </w:pBdr>
      <w:spacing w:before="280" w:after="280"/>
      <w:jc w:val="center"/>
    </w:pPr>
    <w:rPr/>
  </w:style>
  <w:style w:type="paragraph" w:styleId="Xl263" w:customStyle="1">
    <w:name w:val="xl2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FF0000"/>
    </w:rPr>
  </w:style>
  <w:style w:type="paragraph" w:styleId="Xl264" w:customStyle="1">
    <w:name w:val="xl264"/>
    <w:basedOn w:val="Normal"/>
    <w:qFormat/>
    <w:pPr>
      <w:pBdr>
        <w:top w:val="single" w:sz="4" w:space="0" w:color="000000"/>
        <w:left w:val="single" w:sz="8" w:space="0" w:color="000000"/>
        <w:bottom w:val="single" w:sz="4" w:space="0" w:color="000000"/>
      </w:pBdr>
      <w:spacing w:before="280" w:after="280"/>
      <w:jc w:val="center"/>
    </w:pPr>
    <w:rPr>
      <w:b/>
      <w:bCs/>
    </w:rPr>
  </w:style>
  <w:style w:type="paragraph" w:styleId="Xl265" w:customStyle="1">
    <w:name w:val="xl265"/>
    <w:basedOn w:val="Normal"/>
    <w:qFormat/>
    <w:pPr>
      <w:pBdr>
        <w:top w:val="single" w:sz="4" w:space="0" w:color="000000"/>
        <w:bottom w:val="single" w:sz="4" w:space="0" w:color="000000"/>
      </w:pBdr>
      <w:spacing w:before="280" w:after="280"/>
      <w:jc w:val="center"/>
    </w:pPr>
    <w:rPr>
      <w:b/>
      <w:bCs/>
    </w:rPr>
  </w:style>
  <w:style w:type="paragraph" w:styleId="Xl266" w:customStyle="1">
    <w:name w:val="xl266"/>
    <w:basedOn w:val="Normal"/>
    <w:qFormat/>
    <w:pPr>
      <w:pBdr>
        <w:top w:val="single" w:sz="4" w:space="0" w:color="000000"/>
        <w:bottom w:val="single" w:sz="4" w:space="0" w:color="000000"/>
        <w:right w:val="single" w:sz="4" w:space="0" w:color="000000"/>
      </w:pBdr>
      <w:spacing w:before="280" w:after="280"/>
      <w:jc w:val="center"/>
    </w:pPr>
    <w:rPr>
      <w:b/>
      <w:bCs/>
    </w:rPr>
  </w:style>
  <w:style w:type="paragraph" w:styleId="Xl267" w:customStyle="1">
    <w:name w:val="xl267"/>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color w:val="000000"/>
    </w:rPr>
  </w:style>
  <w:style w:type="paragraph" w:styleId="Xl268" w:customStyle="1">
    <w:name w:val="xl268"/>
    <w:basedOn w:val="Normal"/>
    <w:qFormat/>
    <w:pPr>
      <w:pBdr>
        <w:top w:val="single" w:sz="4" w:space="0" w:color="000000"/>
      </w:pBdr>
      <w:spacing w:before="280" w:after="280"/>
      <w:jc w:val="center"/>
    </w:pPr>
    <w:rPr/>
  </w:style>
  <w:style w:type="paragraph" w:styleId="Xl269" w:customStyle="1">
    <w:name w:val="xl269"/>
    <w:basedOn w:val="Normal"/>
    <w:qFormat/>
    <w:pPr>
      <w:pBdr>
        <w:top w:val="single" w:sz="4" w:space="0" w:color="000000"/>
        <w:left w:val="single" w:sz="4" w:space="0" w:color="000000"/>
        <w:right w:val="single" w:sz="4" w:space="0" w:color="000000"/>
      </w:pBdr>
      <w:spacing w:before="280" w:after="280"/>
    </w:pPr>
    <w:rPr>
      <w:b/>
      <w:bCs/>
    </w:rPr>
  </w:style>
  <w:style w:type="paragraph" w:styleId="Xl270" w:customStyle="1">
    <w:name w:val="xl270"/>
    <w:basedOn w:val="Normal"/>
    <w:qFormat/>
    <w:pPr>
      <w:pBdr>
        <w:top w:val="single" w:sz="4" w:space="0" w:color="000000"/>
        <w:left w:val="single" w:sz="4" w:space="0" w:color="000000"/>
      </w:pBdr>
      <w:spacing w:before="280" w:after="280"/>
    </w:pPr>
    <w:rPr/>
  </w:style>
  <w:style w:type="paragraph" w:styleId="Xl271" w:customStyle="1">
    <w:name w:val="xl271"/>
    <w:basedOn w:val="Normal"/>
    <w:qFormat/>
    <w:pPr>
      <w:pBdr>
        <w:top w:val="single" w:sz="4" w:space="0" w:color="000000"/>
        <w:left w:val="single" w:sz="4" w:space="0" w:color="000000"/>
        <w:right w:val="single" w:sz="8" w:space="0" w:color="000000"/>
      </w:pBdr>
      <w:spacing w:before="280" w:after="280"/>
    </w:pPr>
    <w:rPr/>
  </w:style>
  <w:style w:type="paragraph" w:styleId="Xl272" w:customStyle="1">
    <w:name w:val="xl272"/>
    <w:basedOn w:val="Normal"/>
    <w:qFormat/>
    <w:pPr>
      <w:pBdr>
        <w:top w:val="single" w:sz="8" w:space="0" w:color="000000"/>
        <w:left w:val="single" w:sz="4" w:space="0" w:color="000000"/>
        <w:right w:val="single" w:sz="4" w:space="0" w:color="000000"/>
      </w:pBdr>
      <w:shd w:val="clear" w:color="auto" w:fill="FFFFFF"/>
      <w:spacing w:before="280" w:after="280"/>
      <w:jc w:val="center"/>
      <w:textAlignment w:val="center"/>
    </w:pPr>
    <w:rPr/>
  </w:style>
  <w:style w:type="paragraph" w:styleId="Xl273" w:customStyle="1">
    <w:name w:val="xl273"/>
    <w:basedOn w:val="Normal"/>
    <w:qFormat/>
    <w:pPr>
      <w:pBdr>
        <w:top w:val="single" w:sz="4" w:space="0" w:color="000000"/>
        <w:left w:val="single" w:sz="4" w:space="0" w:color="000000"/>
        <w:bottom w:val="single" w:sz="4" w:space="0" w:color="000000"/>
        <w:right w:val="single" w:sz="4" w:space="0" w:color="000000"/>
      </w:pBdr>
      <w:shd w:val="clear" w:color="auto" w:fill="FFFFFF"/>
      <w:spacing w:before="280" w:after="280"/>
    </w:pPr>
    <w:rPr/>
  </w:style>
  <w:style w:type="paragraph" w:styleId="Titlu2" w:customStyle="1">
    <w:name w:val="Titlu2"/>
    <w:basedOn w:val="Normal"/>
    <w:qFormat/>
    <w:pPr>
      <w:jc w:val="center"/>
    </w:pPr>
    <w:rPr>
      <w:rFonts w:ascii="Arial" w:hAnsi="Arial" w:cs="Arial"/>
      <w:b/>
      <w:szCs w:val="20"/>
    </w:rPr>
  </w:style>
  <w:style w:type="paragraph" w:styleId="Titlu21" w:customStyle="1">
    <w:name w:val="Titlu 21"/>
    <w:basedOn w:val="Normal"/>
    <w:qFormat/>
    <w:pPr>
      <w:jc w:val="center"/>
    </w:pPr>
    <w:rPr>
      <w:rFonts w:ascii="Arial" w:hAnsi="Arial" w:cs="Arial"/>
      <w:b/>
      <w:lang w:val="ro-RO"/>
    </w:rPr>
  </w:style>
  <w:style w:type="paragraph" w:styleId="Frspaiere" w:customStyle="1">
    <w:name w:val="Fără spațiere"/>
    <w:qFormat/>
    <w:pPr>
      <w:widowControl/>
      <w:suppressAutoHyphens w:val="true"/>
      <w:bidi w:val="0"/>
      <w:spacing w:before="0" w:after="0"/>
      <w:jc w:val="left"/>
    </w:pPr>
    <w:rPr>
      <w:rFonts w:ascii="Times New Roman" w:hAnsi="Times New Roman" w:eastAsia="Times New Roman" w:cs="Times New Roman"/>
      <w:color w:val="auto"/>
      <w:kern w:val="0"/>
      <w:sz w:val="24"/>
      <w:szCs w:val="20"/>
      <w:lang w:val="ro-RO" w:eastAsia="zh-CN" w:bidi="ar-SA"/>
    </w:rPr>
  </w:style>
  <w:style w:type="paragraph" w:styleId="Endnote">
    <w:name w:val="Endnote Text"/>
    <w:basedOn w:val="Normal"/>
    <w:pPr/>
    <w:rPr>
      <w:sz w:val="20"/>
      <w:szCs w:val="20"/>
      <w:lang w:val="ro-RO"/>
    </w:rPr>
  </w:style>
  <w:style w:type="paragraph" w:styleId="Bekezd1" w:customStyle="1">
    <w:name w:val="bekezd1"/>
    <w:next w:val="Norml5"/>
    <w:qFormat/>
    <w:pPr>
      <w:widowControl/>
      <w:suppressAutoHyphens w:val="true"/>
      <w:bidi w:val="0"/>
      <w:spacing w:before="120" w:after="120"/>
      <w:jc w:val="left"/>
    </w:pPr>
    <w:rPr>
      <w:rFonts w:ascii="Times New Roman" w:hAnsi="Times New Roman" w:eastAsia="Times New Roman" w:cs="Times New Roman"/>
      <w:color w:val="auto"/>
      <w:kern w:val="0"/>
      <w:sz w:val="24"/>
      <w:szCs w:val="20"/>
      <w:u w:val="single"/>
      <w:lang w:val="en-US" w:eastAsia="zh-CN" w:bidi="ar-SA"/>
    </w:rPr>
  </w:style>
  <w:style w:type="paragraph" w:styleId="Norml5" w:customStyle="1">
    <w:name w:val="normál5"/>
    <w:basedOn w:val="Normal"/>
    <w:next w:val="Norml1"/>
    <w:qFormat/>
    <w:pPr/>
    <w:rPr>
      <w:sz w:val="20"/>
      <w:szCs w:val="20"/>
      <w:lang w:val="ro-RO"/>
    </w:rPr>
  </w:style>
  <w:style w:type="paragraph" w:styleId="Norml1" w:customStyle="1">
    <w:name w:val="normál1"/>
    <w:basedOn w:val="Normal"/>
    <w:next w:val="Normal"/>
    <w:qFormat/>
    <w:pPr>
      <w:ind w:firstLine="284"/>
    </w:pPr>
    <w:rPr>
      <w:szCs w:val="20"/>
      <w:lang w:val="ro-RO"/>
    </w:rPr>
  </w:style>
  <w:style w:type="paragraph" w:styleId="Bekezd2" w:customStyle="1">
    <w:name w:val="bekezd2"/>
    <w:next w:val="Normal"/>
    <w:qFormat/>
    <w:pPr>
      <w:widowControl/>
      <w:suppressAutoHyphens w:val="true"/>
      <w:bidi w:val="0"/>
      <w:spacing w:before="0" w:after="0"/>
      <w:jc w:val="left"/>
    </w:pPr>
    <w:rPr>
      <w:rFonts w:ascii="Arial" w:hAnsi="Arial" w:eastAsia="Times New Roman" w:cs="Arial"/>
      <w:color w:val="auto"/>
      <w:kern w:val="0"/>
      <w:sz w:val="24"/>
      <w:szCs w:val="20"/>
      <w:u w:val="single"/>
      <w:lang w:val="en-US" w:eastAsia="zh-CN" w:bidi="ar-SA"/>
    </w:rPr>
  </w:style>
  <w:style w:type="paragraph" w:styleId="Norml2" w:customStyle="1">
    <w:name w:val="normál2"/>
    <w:basedOn w:val="Normal"/>
    <w:qFormat/>
    <w:pPr/>
    <w:rPr>
      <w:sz w:val="20"/>
      <w:szCs w:val="20"/>
      <w:lang w:val="ro-RO"/>
    </w:rPr>
  </w:style>
  <w:style w:type="paragraph" w:styleId="Norml3" w:customStyle="1">
    <w:name w:val="normál3"/>
    <w:basedOn w:val="Normal"/>
    <w:qFormat/>
    <w:pPr>
      <w:ind w:firstLine="284"/>
    </w:pPr>
    <w:rPr>
      <w:sz w:val="20"/>
      <w:szCs w:val="20"/>
      <w:lang w:val="ro-RO"/>
    </w:rPr>
  </w:style>
  <w:style w:type="paragraph" w:styleId="Norml4" w:customStyle="1">
    <w:name w:val="normál4"/>
    <w:basedOn w:val="Normal"/>
    <w:next w:val="Normal"/>
    <w:qFormat/>
    <w:pPr>
      <w:ind w:firstLine="284"/>
    </w:pPr>
    <w:rPr>
      <w:sz w:val="20"/>
      <w:szCs w:val="20"/>
      <w:lang w:val="ro-RO"/>
    </w:rPr>
  </w:style>
  <w:style w:type="paragraph" w:styleId="Stil1" w:customStyle="1">
    <w:name w:val="Stil1"/>
    <w:basedOn w:val="Normal"/>
    <w:qFormat/>
    <w:pPr>
      <w:ind w:right="-81" w:firstLine="709"/>
      <w:jc w:val="both"/>
    </w:pPr>
    <w:rPr>
      <w:rFonts w:ascii="Arial" w:hAnsi="Arial" w:cs="Arial"/>
      <w:color w:val="000000"/>
      <w:szCs w:val="20"/>
      <w:u w:val="single"/>
      <w:lang w:val="ro-RO"/>
    </w:rPr>
  </w:style>
  <w:style w:type="paragraph" w:styleId="Normal14" w:customStyle="1">
    <w:name w:val="normal 14"/>
    <w:basedOn w:val="Normal"/>
    <w:qFormat/>
    <w:pPr>
      <w:ind w:right="46" w:firstLine="720"/>
      <w:jc w:val="both"/>
    </w:pPr>
    <w:rPr>
      <w:rFonts w:ascii="Arial" w:hAnsi="Arial" w:cs="Arial"/>
      <w:b/>
      <w:w w:val="90"/>
      <w:szCs w:val="20"/>
      <w:lang w:val="ro-RO"/>
    </w:rPr>
  </w:style>
  <w:style w:type="paragraph" w:styleId="ShortReturnAddress" w:customStyle="1">
    <w:name w:val="Short Return Address"/>
    <w:basedOn w:val="Normal"/>
    <w:qFormat/>
    <w:pPr/>
    <w:rPr>
      <w:sz w:val="20"/>
      <w:szCs w:val="20"/>
      <w:lang w:val="ro-RO"/>
    </w:rPr>
  </w:style>
  <w:style w:type="paragraph" w:styleId="Xl20" w:customStyle="1">
    <w:name w:val="xl20"/>
    <w:basedOn w:val="Normal"/>
    <w:qFormat/>
    <w:pPr>
      <w:spacing w:before="280" w:after="280"/>
    </w:pPr>
    <w:rPr>
      <w:sz w:val="12"/>
      <w:szCs w:val="12"/>
    </w:rPr>
  </w:style>
  <w:style w:type="paragraph" w:styleId="Xl21" w:customStyle="1">
    <w:name w:val="xl21"/>
    <w:basedOn w:val="Normal"/>
    <w:qFormat/>
    <w:pPr>
      <w:spacing w:before="280" w:after="280"/>
    </w:pPr>
    <w:rPr>
      <w:sz w:val="12"/>
      <w:szCs w:val="12"/>
    </w:rPr>
  </w:style>
  <w:style w:type="paragraph" w:styleId="PreformatatHTML" w:customStyle="1">
    <w:name w:val="Preformatat HTML"/>
    <w:basedOn w:val="Normal"/>
    <w:qFormat/>
    <w:pPr/>
    <w:rPr>
      <w:rFonts w:ascii="Courier New" w:hAnsi="Courier New" w:cs="Courier New"/>
      <w:sz w:val="20"/>
      <w:szCs w:val="20"/>
    </w:rPr>
  </w:style>
  <w:style w:type="paragraph" w:styleId="NoSpacing1" w:customStyle="1">
    <w:name w:val="No Spacing1"/>
    <w:qFormat/>
    <w:pPr>
      <w:widowControl/>
      <w:suppressAutoHyphens w:val="true"/>
      <w:bidi w:val="0"/>
      <w:spacing w:before="0" w:after="0"/>
      <w:jc w:val="left"/>
    </w:pPr>
    <w:rPr>
      <w:rFonts w:ascii="Times New Roman" w:hAnsi="Times New Roman" w:eastAsia="Times New Roman" w:cs="Times New Roman"/>
      <w:color w:val="auto"/>
      <w:kern w:val="0"/>
      <w:sz w:val="24"/>
      <w:szCs w:val="20"/>
      <w:lang w:val="ro-RO" w:eastAsia="zh-CN" w:bidi="ar-SA"/>
    </w:rPr>
  </w:style>
  <w:style w:type="paragraph" w:styleId="Subtitle">
    <w:name w:val="Subtitle"/>
    <w:basedOn w:val="Normal"/>
    <w:next w:val="Normal"/>
    <w:uiPriority w:val="11"/>
    <w:qFormat/>
    <w:pPr/>
    <w:rPr>
      <w:rFonts w:ascii="Cambria" w:hAnsi="Cambria" w:cs="Cambria"/>
      <w:i/>
      <w:iCs/>
      <w:color w:val="4F81BD"/>
      <w:spacing w:val="15"/>
    </w:rPr>
  </w:style>
  <w:style w:type="paragraph" w:styleId="Text1" w:customStyle="1">
    <w:name w:val="Text"/>
    <w:basedOn w:val="Normal"/>
    <w:qFormat/>
    <w:pPr>
      <w:ind w:firstLine="720"/>
      <w:jc w:val="both"/>
    </w:pPr>
    <w:rPr>
      <w:rFonts w:ascii="Arial" w:hAnsi="Arial" w:cs="Arial"/>
      <w:szCs w:val="20"/>
    </w:rPr>
  </w:style>
  <w:style w:type="paragraph" w:styleId="Default" w:customStyle="1">
    <w:name w:val="Default"/>
    <w:qFormat/>
    <w:pPr>
      <w:widowControl/>
      <w:suppressAutoHyphens w:val="true"/>
      <w:bidi w:val="0"/>
      <w:spacing w:before="0" w:after="0"/>
      <w:jc w:val="left"/>
    </w:pPr>
    <w:rPr>
      <w:rFonts w:ascii="Courier New" w:hAnsi="Courier New" w:eastAsia="Calibri" w:cs="Courier New"/>
      <w:color w:val="000000"/>
      <w:kern w:val="0"/>
      <w:sz w:val="24"/>
      <w:szCs w:val="24"/>
      <w:lang w:val="ro-RO" w:eastAsia="zh-CN" w:bidi="ar-SA"/>
    </w:rPr>
  </w:style>
  <w:style w:type="paragraph" w:styleId="Textproiect" w:customStyle="1">
    <w:name w:val="text_proiect"/>
    <w:basedOn w:val="Normal"/>
    <w:qFormat/>
    <w:pPr>
      <w:overflowPunct w:val="false"/>
      <w:ind w:firstLine="840"/>
      <w:jc w:val="both"/>
      <w:textAlignment w:val="baseline"/>
    </w:pPr>
    <w:rPr>
      <w:szCs w:val="20"/>
    </w:rPr>
  </w:style>
  <w:style w:type="paragraph" w:styleId="Titlucuprins" w:customStyle="1">
    <w:name w:val="Titlu cuprins"/>
    <w:basedOn w:val="Heading1"/>
    <w:next w:val="Normal"/>
    <w:qFormat/>
    <w:pPr>
      <w:keepLines/>
      <w:numPr>
        <w:ilvl w:val="0"/>
        <w:numId w:val="0"/>
      </w:numPr>
      <w:spacing w:lineRule="auto" w:line="276" w:before="480" w:after="0"/>
      <w:jc w:val="left"/>
    </w:pPr>
    <w:rPr>
      <w:rFonts w:ascii="Cambria" w:hAnsi="Cambria"/>
      <w:bCs/>
      <w:color w:val="365F91"/>
    </w:rPr>
  </w:style>
  <w:style w:type="paragraph" w:styleId="Contents1">
    <w:name w:val="TOC 1"/>
    <w:basedOn w:val="Normal"/>
    <w:next w:val="Normal"/>
    <w:uiPriority w:val="39"/>
    <w:pPr>
      <w:tabs>
        <w:tab w:val="clear" w:pos="720"/>
        <w:tab w:val="right" w:pos="9639" w:leader="dot"/>
      </w:tabs>
      <w:ind w:left="284" w:hanging="284"/>
      <w:jc w:val="both"/>
    </w:pPr>
    <w:rPr>
      <w:lang w:eastAsia="en-US"/>
    </w:rPr>
  </w:style>
  <w:style w:type="paragraph" w:styleId="Contents2">
    <w:name w:val="TOC 2"/>
    <w:basedOn w:val="Normal"/>
    <w:next w:val="Normal"/>
    <w:uiPriority w:val="39"/>
    <w:pPr>
      <w:tabs>
        <w:tab w:val="clear" w:pos="720"/>
        <w:tab w:val="right" w:pos="9639" w:leader="dot"/>
      </w:tabs>
      <w:ind w:left="993" w:hanging="425"/>
    </w:pPr>
    <w:rPr/>
  </w:style>
  <w:style w:type="paragraph" w:styleId="SubiectComentariu" w:customStyle="1">
    <w:name w:val="Subiect Comentariu"/>
    <w:basedOn w:val="Textcomentariu"/>
    <w:next w:val="Textcomentariu"/>
    <w:qFormat/>
    <w:pPr/>
    <w:rPr>
      <w:b/>
      <w:bCs/>
      <w:lang w:val="en-US"/>
    </w:rPr>
  </w:style>
  <w:style w:type="paragraph" w:styleId="Frspaiere1" w:customStyle="1">
    <w:name w:val="Fără spațiere1"/>
    <w:qFormat/>
    <w:pPr>
      <w:widowControl/>
      <w:suppressAutoHyphens w:val="true"/>
      <w:bidi w:val="0"/>
      <w:spacing w:before="0" w:after="0"/>
      <w:jc w:val="both"/>
    </w:pPr>
    <w:rPr>
      <w:rFonts w:ascii="Calibri" w:hAnsi="Calibri" w:eastAsia="Calibri" w:cs="Calibri"/>
      <w:color w:val="auto"/>
      <w:kern w:val="0"/>
      <w:sz w:val="22"/>
      <w:szCs w:val="22"/>
      <w:lang w:val="en-US" w:eastAsia="zh-CN" w:bidi="ar-SA"/>
    </w:rPr>
  </w:style>
  <w:style w:type="paragraph" w:styleId="Contents3">
    <w:name w:val="TOC 3"/>
    <w:basedOn w:val="Normal"/>
    <w:next w:val="Normal"/>
    <w:uiPriority w:val="39"/>
    <w:pPr>
      <w:tabs>
        <w:tab w:val="clear" w:pos="720"/>
        <w:tab w:val="right" w:pos="9639" w:leader="dot"/>
      </w:tabs>
      <w:ind w:left="480" w:firstLine="371"/>
    </w:pPr>
    <w:rPr/>
  </w:style>
  <w:style w:type="paragraph" w:styleId="TableParagraph" w:customStyle="1">
    <w:name w:val="Table Paragraph"/>
    <w:basedOn w:val="Normal"/>
    <w:qFormat/>
    <w:pPr>
      <w:widowControl w:val="false"/>
    </w:pPr>
    <w:rPr>
      <w:sz w:val="22"/>
      <w:szCs w:val="22"/>
      <w:lang w:val="ro-RO"/>
    </w:rPr>
  </w:style>
  <w:style w:type="paragraph" w:styleId="LOnormal" w:customStyle="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n-US" w:eastAsia="zh-CN" w:bidi="ar-SA"/>
    </w:rPr>
  </w:style>
  <w:style w:type="paragraph" w:styleId="Numrtabel" w:customStyle="1">
    <w:name w:val="numãr tabel"/>
    <w:basedOn w:val="Normal"/>
    <w:qFormat/>
    <w:pPr>
      <w:jc w:val="right"/>
    </w:pPr>
    <w:rPr>
      <w:i/>
      <w:szCs w:val="20"/>
      <w:u w:val="single"/>
      <w:lang w:val="en-GB"/>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1241</TotalTime>
  <Application>LibreOffice/6.4.4.2$Windows_X86_64 LibreOffice_project/3d775be2011f3886db32dfd395a6a6d1ca2630ff</Application>
  <Pages>33</Pages>
  <Words>7910</Words>
  <Characters>47408</Characters>
  <CharactersWithSpaces>54204</CharactersWithSpaces>
  <Paragraphs>1716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2024-07-05T06:33:00Z</dcterms:created>
  <dc:creator>Gabi</dc:creator>
  <dc:description/>
  <dc:language>en-US</dc:language>
  <cp:lastModifiedBy/>
  <cp:lastPrinted>2024-03-12T08:50:00Z</cp:lastPrinted>
  <dcterms:modified xsi:type="dcterms:W3CDTF">2024-10-22T10:48:28Z</dcterms:modified>
  <cp:revision>171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